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3A744D">
      <w:pPr>
        <w:pBdr>
          <w:bottom w:val="single" w:sz="12" w:space="1" w:color="auto"/>
        </w:pBdr>
        <w:jc w:val="center"/>
        <w:rPr>
          <w:rFonts w:ascii="Arial" w:hAnsi="Arial" w:cs="Arial"/>
          <w:b/>
          <w:sz w:val="24"/>
        </w:rPr>
      </w:pPr>
      <w:bookmarkStart w:id="0" w:name="_GoBack"/>
      <w:bookmarkEnd w:id="0"/>
      <w:r>
        <w:rPr>
          <w:rFonts w:ascii="Arial" w:hAnsi="Arial" w:cs="Arial"/>
          <w:b/>
          <w:sz w:val="24"/>
        </w:rPr>
        <w:t xml:space="preserve">Report of </w:t>
      </w:r>
      <w:r w:rsidR="00F34344">
        <w:rPr>
          <w:rFonts w:ascii="Arial" w:hAnsi="Arial" w:cs="Arial"/>
          <w:b/>
          <w:sz w:val="24"/>
        </w:rPr>
        <w:t xml:space="preserve">the </w:t>
      </w:r>
      <w:r w:rsidR="003E43B5">
        <w:rPr>
          <w:rFonts w:ascii="Arial" w:hAnsi="Arial" w:cs="Arial"/>
          <w:b/>
          <w:sz w:val="24"/>
        </w:rPr>
        <w:t>Head of Finance</w:t>
      </w:r>
    </w:p>
    <w:p w:rsidR="00127010" w:rsidRDefault="00127010" w:rsidP="003A744D">
      <w:pPr>
        <w:pBdr>
          <w:bottom w:val="single" w:sz="12" w:space="1" w:color="auto"/>
        </w:pBdr>
        <w:jc w:val="center"/>
        <w:rPr>
          <w:rFonts w:ascii="Arial" w:hAnsi="Arial" w:cs="Arial"/>
          <w:b/>
          <w:sz w:val="24"/>
        </w:rPr>
      </w:pPr>
      <w:r>
        <w:rPr>
          <w:rFonts w:ascii="Arial" w:hAnsi="Arial" w:cs="Arial"/>
          <w:b/>
          <w:sz w:val="24"/>
        </w:rPr>
        <w:t>To</w:t>
      </w:r>
    </w:p>
    <w:p w:rsidR="00127010" w:rsidRDefault="00B55786" w:rsidP="003A744D">
      <w:pPr>
        <w:pBdr>
          <w:bottom w:val="single" w:sz="12" w:space="1" w:color="auto"/>
        </w:pBdr>
        <w:jc w:val="center"/>
        <w:rPr>
          <w:rFonts w:ascii="Arial" w:hAnsi="Arial" w:cs="Arial"/>
          <w:b/>
          <w:sz w:val="24"/>
        </w:rPr>
      </w:pPr>
      <w:r>
        <w:rPr>
          <w:rFonts w:ascii="Arial" w:hAnsi="Arial" w:cs="Arial"/>
          <w:b/>
          <w:sz w:val="24"/>
        </w:rPr>
        <w:t xml:space="preserve">The </w:t>
      </w:r>
      <w:r w:rsidR="003E43B5">
        <w:rPr>
          <w:rFonts w:ascii="Arial" w:hAnsi="Arial" w:cs="Arial"/>
          <w:b/>
          <w:sz w:val="24"/>
        </w:rPr>
        <w:t xml:space="preserve">Governance &amp; </w:t>
      </w:r>
      <w:r w:rsidR="0072558B">
        <w:rPr>
          <w:rFonts w:ascii="Arial" w:hAnsi="Arial" w:cs="Arial"/>
          <w:b/>
          <w:sz w:val="24"/>
        </w:rPr>
        <w:t>Standards</w:t>
      </w:r>
      <w:r w:rsidR="003E43B5">
        <w:rPr>
          <w:rFonts w:ascii="Arial" w:hAnsi="Arial" w:cs="Arial"/>
          <w:b/>
          <w:sz w:val="24"/>
        </w:rPr>
        <w:t xml:space="preserve"> Committee</w:t>
      </w:r>
    </w:p>
    <w:p w:rsidR="00127010" w:rsidRDefault="00127010" w:rsidP="003A744D">
      <w:pPr>
        <w:pBdr>
          <w:bottom w:val="single" w:sz="12" w:space="1" w:color="auto"/>
        </w:pBdr>
        <w:jc w:val="center"/>
        <w:rPr>
          <w:rFonts w:ascii="Arial" w:hAnsi="Arial" w:cs="Arial"/>
          <w:b/>
          <w:sz w:val="24"/>
        </w:rPr>
      </w:pPr>
      <w:r>
        <w:rPr>
          <w:rFonts w:ascii="Arial" w:hAnsi="Arial" w:cs="Arial"/>
          <w:b/>
          <w:sz w:val="24"/>
        </w:rPr>
        <w:t>On</w:t>
      </w:r>
    </w:p>
    <w:p w:rsidR="00127010" w:rsidRDefault="00792EB8" w:rsidP="003A744D">
      <w:pPr>
        <w:pBdr>
          <w:bottom w:val="single" w:sz="12" w:space="1" w:color="auto"/>
        </w:pBdr>
        <w:jc w:val="center"/>
        <w:rPr>
          <w:rFonts w:ascii="Arial" w:hAnsi="Arial" w:cs="Arial"/>
          <w:b/>
          <w:sz w:val="24"/>
        </w:rPr>
      </w:pPr>
      <w:r>
        <w:rPr>
          <w:rFonts w:ascii="Arial" w:hAnsi="Arial" w:cs="Arial"/>
          <w:b/>
          <w:sz w:val="24"/>
        </w:rPr>
        <w:t>17 March 2021</w:t>
      </w:r>
    </w:p>
    <w:p w:rsidR="00127010" w:rsidRPr="00035950" w:rsidRDefault="00127010" w:rsidP="003A744D">
      <w:pPr>
        <w:pBdr>
          <w:bottom w:val="single" w:sz="12" w:space="1" w:color="auto"/>
        </w:pBdr>
        <w:jc w:val="both"/>
        <w:rPr>
          <w:rFonts w:ascii="Arial" w:hAnsi="Arial" w:cs="Arial"/>
          <w:b/>
          <w:sz w:val="24"/>
        </w:rPr>
      </w:pPr>
    </w:p>
    <w:p w:rsidR="00127010" w:rsidRDefault="00127010" w:rsidP="003A744D">
      <w:pPr>
        <w:pStyle w:val="Heading1"/>
        <w:ind w:right="-270"/>
        <w:jc w:val="both"/>
        <w:rPr>
          <w:rFonts w:ascii="Arial" w:hAnsi="Arial" w:cs="Arial"/>
          <w:b/>
          <w:sz w:val="24"/>
          <w:szCs w:val="24"/>
        </w:rPr>
      </w:pPr>
    </w:p>
    <w:p w:rsidR="00127010" w:rsidRPr="006339F6" w:rsidRDefault="008F6FA1" w:rsidP="003A744D">
      <w:pPr>
        <w:pStyle w:val="Heading1"/>
        <w:ind w:right="-270"/>
        <w:jc w:val="center"/>
        <w:rPr>
          <w:rFonts w:ascii="Arial" w:hAnsi="Arial" w:cs="Arial"/>
          <w:b/>
          <w:sz w:val="24"/>
          <w:szCs w:val="24"/>
          <w:u w:val="none"/>
        </w:rPr>
      </w:pPr>
      <w:r>
        <w:rPr>
          <w:rFonts w:ascii="Arial" w:hAnsi="Arial" w:cs="Arial"/>
          <w:b/>
          <w:sz w:val="24"/>
          <w:szCs w:val="24"/>
          <w:u w:val="none"/>
        </w:rPr>
        <w:t>Statement of Accounts 20</w:t>
      </w:r>
      <w:r w:rsidR="00792EB8">
        <w:rPr>
          <w:rFonts w:ascii="Arial" w:hAnsi="Arial" w:cs="Arial"/>
          <w:b/>
          <w:sz w:val="24"/>
          <w:szCs w:val="24"/>
          <w:u w:val="none"/>
        </w:rPr>
        <w:t xml:space="preserve">20/21 </w:t>
      </w:r>
      <w:r>
        <w:rPr>
          <w:rFonts w:ascii="Arial" w:hAnsi="Arial" w:cs="Arial"/>
          <w:b/>
          <w:sz w:val="24"/>
          <w:szCs w:val="24"/>
          <w:u w:val="none"/>
        </w:rPr>
        <w:t>- Approval of Accounting Policies</w:t>
      </w:r>
    </w:p>
    <w:p w:rsidR="00C82946" w:rsidRPr="00304BD4" w:rsidRDefault="00C82946" w:rsidP="003A744D">
      <w:pPr>
        <w:pBdr>
          <w:bottom w:val="single" w:sz="12" w:space="1" w:color="auto"/>
        </w:pBdr>
        <w:jc w:val="both"/>
        <w:rPr>
          <w:rFonts w:ascii="Arial" w:hAnsi="Arial" w:cs="Arial"/>
          <w:sz w:val="24"/>
          <w:szCs w:val="24"/>
        </w:rPr>
      </w:pPr>
    </w:p>
    <w:p w:rsidR="00C82946" w:rsidRPr="00304BD4" w:rsidRDefault="00C82946" w:rsidP="003A744D">
      <w:pPr>
        <w:jc w:val="both"/>
        <w:rPr>
          <w:rFonts w:ascii="Arial" w:hAnsi="Arial" w:cs="Arial"/>
          <w:sz w:val="24"/>
          <w:szCs w:val="24"/>
        </w:rPr>
      </w:pPr>
    </w:p>
    <w:p w:rsidR="00C82946" w:rsidRPr="00D06BE9" w:rsidRDefault="00C82946" w:rsidP="003A744D">
      <w:pPr>
        <w:pStyle w:val="Heading5"/>
        <w:tabs>
          <w:tab w:val="clear" w:pos="862"/>
          <w:tab w:val="num" w:pos="709"/>
        </w:tabs>
        <w:ind w:left="709"/>
        <w:rPr>
          <w:rFonts w:ascii="Arial" w:hAnsi="Arial" w:cs="Arial"/>
          <w:b/>
          <w:szCs w:val="24"/>
          <w:u w:val="none"/>
        </w:rPr>
      </w:pPr>
      <w:r w:rsidRPr="00D06BE9">
        <w:rPr>
          <w:rFonts w:ascii="Arial" w:hAnsi="Arial" w:cs="Arial"/>
          <w:b/>
          <w:szCs w:val="24"/>
          <w:u w:val="none"/>
        </w:rPr>
        <w:t>SUMMARY</w:t>
      </w:r>
    </w:p>
    <w:p w:rsidR="00C82946" w:rsidRPr="00304BD4" w:rsidRDefault="00C82946" w:rsidP="003A744D">
      <w:pPr>
        <w:jc w:val="both"/>
        <w:rPr>
          <w:rFonts w:ascii="Arial" w:hAnsi="Arial" w:cs="Arial"/>
          <w:sz w:val="24"/>
          <w:szCs w:val="24"/>
          <w:u w:val="single"/>
        </w:rPr>
      </w:pPr>
    </w:p>
    <w:p w:rsidR="007F6AAA" w:rsidRDefault="007F710B" w:rsidP="003A744D">
      <w:pPr>
        <w:pStyle w:val="BodyTextIndent"/>
        <w:ind w:right="-270" w:hanging="720"/>
        <w:jc w:val="both"/>
        <w:rPr>
          <w:rFonts w:ascii="Arial" w:hAnsi="Arial" w:cs="Arial"/>
          <w:szCs w:val="24"/>
        </w:rPr>
      </w:pPr>
      <w:r>
        <w:rPr>
          <w:rFonts w:ascii="Arial" w:hAnsi="Arial" w:cs="Arial"/>
          <w:szCs w:val="24"/>
        </w:rPr>
        <w:t>1.1</w:t>
      </w:r>
      <w:r>
        <w:rPr>
          <w:rFonts w:ascii="Arial" w:hAnsi="Arial" w:cs="Arial"/>
          <w:szCs w:val="24"/>
        </w:rPr>
        <w:tab/>
      </w:r>
      <w:r w:rsidR="00C82946" w:rsidRPr="00304BD4">
        <w:rPr>
          <w:rFonts w:ascii="Arial" w:hAnsi="Arial" w:cs="Arial"/>
          <w:szCs w:val="24"/>
        </w:rPr>
        <w:t>Th</w:t>
      </w:r>
      <w:r w:rsidR="00AE08EC">
        <w:rPr>
          <w:rFonts w:ascii="Arial" w:hAnsi="Arial" w:cs="Arial"/>
          <w:szCs w:val="24"/>
        </w:rPr>
        <w:t>e</w:t>
      </w:r>
      <w:r w:rsidR="002A75FF">
        <w:rPr>
          <w:rFonts w:ascii="Arial" w:hAnsi="Arial" w:cs="Arial"/>
          <w:szCs w:val="24"/>
        </w:rPr>
        <w:t xml:space="preserve"> attached</w:t>
      </w:r>
      <w:r w:rsidR="00EE7774">
        <w:rPr>
          <w:rFonts w:ascii="Arial" w:hAnsi="Arial" w:cs="Arial"/>
          <w:szCs w:val="24"/>
        </w:rPr>
        <w:t xml:space="preserve"> Accounting Policies are proposed </w:t>
      </w:r>
      <w:r w:rsidR="00904A96">
        <w:rPr>
          <w:rFonts w:ascii="Arial" w:hAnsi="Arial" w:cs="Arial"/>
          <w:szCs w:val="24"/>
        </w:rPr>
        <w:t xml:space="preserve">to be adopted as part of the 2020/21 </w:t>
      </w:r>
      <w:r w:rsidR="00EE7774">
        <w:rPr>
          <w:rFonts w:ascii="Arial" w:hAnsi="Arial" w:cs="Arial"/>
          <w:szCs w:val="24"/>
        </w:rPr>
        <w:t>Statement of Accounts.</w:t>
      </w:r>
      <w:r w:rsidR="009876B3">
        <w:rPr>
          <w:rFonts w:ascii="Arial" w:hAnsi="Arial" w:cs="Arial"/>
          <w:szCs w:val="24"/>
        </w:rPr>
        <w:t xml:space="preserve"> </w:t>
      </w:r>
    </w:p>
    <w:p w:rsidR="007F6AAA" w:rsidRDefault="007F6AAA" w:rsidP="003A744D">
      <w:pPr>
        <w:pStyle w:val="BodyTextIndent"/>
        <w:ind w:right="-270" w:hanging="720"/>
        <w:jc w:val="both"/>
        <w:rPr>
          <w:rFonts w:ascii="Arial" w:hAnsi="Arial" w:cs="Arial"/>
          <w:szCs w:val="24"/>
        </w:rPr>
      </w:pPr>
    </w:p>
    <w:p w:rsidR="00792EB8" w:rsidRDefault="00792EB8" w:rsidP="003A744D">
      <w:pPr>
        <w:pStyle w:val="BodyTextIndent"/>
        <w:ind w:right="-270" w:hanging="720"/>
        <w:jc w:val="both"/>
        <w:rPr>
          <w:rFonts w:ascii="Arial" w:hAnsi="Arial" w:cs="Arial"/>
          <w:szCs w:val="24"/>
        </w:rPr>
      </w:pPr>
    </w:p>
    <w:p w:rsidR="00C82946" w:rsidRPr="00D06BE9" w:rsidRDefault="00DD497B" w:rsidP="003A744D">
      <w:pPr>
        <w:pStyle w:val="Heading4"/>
        <w:tabs>
          <w:tab w:val="clear" w:pos="862"/>
          <w:tab w:val="num" w:pos="709"/>
        </w:tabs>
        <w:ind w:left="709" w:right="-270" w:hanging="709"/>
        <w:jc w:val="both"/>
        <w:rPr>
          <w:rFonts w:ascii="Arial" w:hAnsi="Arial" w:cs="Arial"/>
          <w:b/>
          <w:szCs w:val="24"/>
          <w:u w:val="none"/>
        </w:rPr>
      </w:pPr>
      <w:r>
        <w:rPr>
          <w:rFonts w:ascii="Arial" w:hAnsi="Arial" w:cs="Arial"/>
          <w:b/>
          <w:szCs w:val="24"/>
          <w:u w:val="none"/>
        </w:rPr>
        <w:lastRenderedPageBreak/>
        <w:t>2</w:t>
      </w:r>
      <w:r>
        <w:rPr>
          <w:rFonts w:ascii="Arial" w:hAnsi="Arial" w:cs="Arial"/>
          <w:b/>
          <w:szCs w:val="24"/>
          <w:u w:val="none"/>
        </w:rPr>
        <w:tab/>
      </w:r>
      <w:r w:rsidR="00C82946" w:rsidRPr="00D06BE9">
        <w:rPr>
          <w:rFonts w:ascii="Arial" w:hAnsi="Arial" w:cs="Arial"/>
          <w:b/>
          <w:szCs w:val="24"/>
          <w:u w:val="none"/>
        </w:rPr>
        <w:t>RECOMMENDATION</w:t>
      </w:r>
    </w:p>
    <w:p w:rsidR="00C82946" w:rsidRPr="00304BD4" w:rsidRDefault="00C82946" w:rsidP="003A744D">
      <w:pPr>
        <w:ind w:right="-270"/>
        <w:jc w:val="both"/>
        <w:rPr>
          <w:rFonts w:ascii="Arial" w:hAnsi="Arial" w:cs="Arial"/>
          <w:sz w:val="24"/>
          <w:szCs w:val="24"/>
        </w:rPr>
      </w:pPr>
    </w:p>
    <w:p w:rsidR="00AE08EC" w:rsidRPr="00304BD4" w:rsidRDefault="004763F6" w:rsidP="003A744D">
      <w:pPr>
        <w:pStyle w:val="BodyTextIndent"/>
        <w:ind w:right="-270" w:hanging="720"/>
        <w:jc w:val="both"/>
        <w:rPr>
          <w:rFonts w:ascii="Arial" w:hAnsi="Arial" w:cs="Arial"/>
          <w:szCs w:val="24"/>
        </w:rPr>
      </w:pPr>
      <w:r>
        <w:rPr>
          <w:rFonts w:ascii="Arial" w:hAnsi="Arial" w:cs="Arial"/>
          <w:szCs w:val="24"/>
        </w:rPr>
        <w:t>2.1</w:t>
      </w:r>
      <w:r w:rsidR="00C82946" w:rsidRPr="00304BD4">
        <w:rPr>
          <w:rFonts w:ascii="Arial" w:hAnsi="Arial" w:cs="Arial"/>
          <w:szCs w:val="24"/>
        </w:rPr>
        <w:t xml:space="preserve"> </w:t>
      </w:r>
      <w:r w:rsidR="00C82946" w:rsidRPr="00304BD4">
        <w:rPr>
          <w:rFonts w:ascii="Arial" w:hAnsi="Arial" w:cs="Arial"/>
          <w:szCs w:val="24"/>
        </w:rPr>
        <w:tab/>
        <w:t xml:space="preserve">That </w:t>
      </w:r>
      <w:r w:rsidR="00D374E8">
        <w:rPr>
          <w:rFonts w:ascii="Arial" w:hAnsi="Arial" w:cs="Arial"/>
          <w:szCs w:val="24"/>
        </w:rPr>
        <w:t xml:space="preserve">the </w:t>
      </w:r>
      <w:r w:rsidR="00904A96">
        <w:rPr>
          <w:rFonts w:ascii="Arial" w:hAnsi="Arial" w:cs="Arial"/>
          <w:szCs w:val="24"/>
        </w:rPr>
        <w:t>2020</w:t>
      </w:r>
      <w:r w:rsidR="00EE7774">
        <w:rPr>
          <w:rFonts w:ascii="Arial" w:hAnsi="Arial" w:cs="Arial"/>
          <w:szCs w:val="24"/>
        </w:rPr>
        <w:t>/2</w:t>
      </w:r>
      <w:r w:rsidR="00904A96">
        <w:rPr>
          <w:rFonts w:ascii="Arial" w:hAnsi="Arial" w:cs="Arial"/>
          <w:szCs w:val="24"/>
        </w:rPr>
        <w:t>1</w:t>
      </w:r>
      <w:r w:rsidR="00EE7774">
        <w:rPr>
          <w:rFonts w:ascii="Arial" w:hAnsi="Arial" w:cs="Arial"/>
          <w:szCs w:val="24"/>
        </w:rPr>
        <w:t xml:space="preserve"> Accounting Policies be approved for use within the Statement of Accounts.</w:t>
      </w:r>
    </w:p>
    <w:p w:rsidR="00C82946" w:rsidRDefault="00C82946" w:rsidP="003A744D">
      <w:pPr>
        <w:ind w:right="-270" w:hanging="720"/>
        <w:jc w:val="both"/>
        <w:rPr>
          <w:rFonts w:ascii="Arial" w:hAnsi="Arial" w:cs="Arial"/>
          <w:sz w:val="24"/>
          <w:szCs w:val="24"/>
        </w:rPr>
      </w:pPr>
    </w:p>
    <w:p w:rsidR="00792EB8" w:rsidRPr="00304BD4" w:rsidRDefault="00792EB8" w:rsidP="003A744D">
      <w:pPr>
        <w:ind w:right="-270" w:hanging="720"/>
        <w:jc w:val="both"/>
        <w:rPr>
          <w:rFonts w:ascii="Arial" w:hAnsi="Arial" w:cs="Arial"/>
          <w:sz w:val="24"/>
          <w:szCs w:val="24"/>
        </w:rPr>
      </w:pPr>
    </w:p>
    <w:p w:rsidR="00C82946" w:rsidRPr="00CB3B10" w:rsidRDefault="00DD497B" w:rsidP="003A744D">
      <w:pPr>
        <w:pStyle w:val="Heading4"/>
        <w:tabs>
          <w:tab w:val="clear" w:pos="862"/>
          <w:tab w:val="num" w:pos="709"/>
        </w:tabs>
        <w:ind w:left="709" w:right="-270" w:hanging="709"/>
        <w:jc w:val="both"/>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CB3B10">
        <w:rPr>
          <w:rFonts w:ascii="Arial" w:hAnsi="Arial" w:cs="Arial"/>
          <w:b/>
          <w:szCs w:val="24"/>
          <w:u w:val="none"/>
        </w:rPr>
        <w:t>BACKGROUND</w:t>
      </w:r>
    </w:p>
    <w:p w:rsidR="00925316" w:rsidRDefault="00925316" w:rsidP="003A744D">
      <w:pPr>
        <w:jc w:val="both"/>
      </w:pPr>
    </w:p>
    <w:p w:rsidR="00971E2D" w:rsidRPr="00971E2D" w:rsidRDefault="00971E2D" w:rsidP="00971E2D">
      <w:pPr>
        <w:autoSpaceDE w:val="0"/>
        <w:autoSpaceDN w:val="0"/>
        <w:adjustRightInd w:val="0"/>
        <w:ind w:left="709" w:hanging="709"/>
        <w:jc w:val="both"/>
        <w:rPr>
          <w:rFonts w:ascii="Arial" w:hAnsi="Arial" w:cs="Arial"/>
          <w:sz w:val="24"/>
          <w:szCs w:val="24"/>
        </w:rPr>
      </w:pPr>
      <w:r w:rsidRPr="00971E2D">
        <w:rPr>
          <w:rFonts w:ascii="Arial" w:hAnsi="Arial" w:cs="Arial"/>
          <w:sz w:val="24"/>
          <w:szCs w:val="24"/>
        </w:rPr>
        <w:t>3.1</w:t>
      </w:r>
      <w:r w:rsidRPr="00971E2D">
        <w:rPr>
          <w:rFonts w:ascii="Arial" w:hAnsi="Arial" w:cs="Arial"/>
          <w:sz w:val="24"/>
          <w:szCs w:val="24"/>
        </w:rPr>
        <w:tab/>
        <w:t>The accounting policies adopted by the Council determine the accounting treatment that is applied to transactions during the financial year and in the preparation of the Statement of Accounts at the year end. They determine the specific principles, bases, conventions, rules and practices that will be applied by the Council in preparing and presenting its financial statements. The accounting policies are published within the Statement of Accounts document in accordance with the Code of Practice on Local Authority Accounting and incorporate the requirements of International Financial Reporting Standards (IRFS).</w:t>
      </w:r>
    </w:p>
    <w:p w:rsidR="00971E2D" w:rsidRPr="00971E2D" w:rsidRDefault="00971E2D" w:rsidP="00971E2D">
      <w:pPr>
        <w:autoSpaceDE w:val="0"/>
        <w:autoSpaceDN w:val="0"/>
        <w:adjustRightInd w:val="0"/>
        <w:jc w:val="both"/>
        <w:rPr>
          <w:rFonts w:ascii="Arial" w:hAnsi="Arial" w:cs="Arial"/>
          <w:sz w:val="24"/>
          <w:szCs w:val="24"/>
        </w:rPr>
      </w:pPr>
    </w:p>
    <w:p w:rsidR="001C5CC8" w:rsidRDefault="004763F6" w:rsidP="00297BFC">
      <w:pPr>
        <w:autoSpaceDE w:val="0"/>
        <w:autoSpaceDN w:val="0"/>
        <w:adjustRightInd w:val="0"/>
        <w:ind w:left="709" w:hanging="709"/>
        <w:jc w:val="both"/>
        <w:rPr>
          <w:rFonts w:ascii="Arial" w:hAnsi="Arial" w:cs="Arial"/>
          <w:sz w:val="24"/>
          <w:szCs w:val="24"/>
        </w:rPr>
      </w:pPr>
      <w:r w:rsidRPr="00971E2D">
        <w:rPr>
          <w:rFonts w:ascii="Arial" w:hAnsi="Arial" w:cs="Arial"/>
          <w:sz w:val="24"/>
          <w:szCs w:val="24"/>
        </w:rPr>
        <w:lastRenderedPageBreak/>
        <w:t>3.</w:t>
      </w:r>
      <w:r w:rsidR="00971E2D">
        <w:rPr>
          <w:rFonts w:ascii="Arial" w:hAnsi="Arial" w:cs="Arial"/>
          <w:sz w:val="24"/>
          <w:szCs w:val="24"/>
        </w:rPr>
        <w:t>2</w:t>
      </w:r>
      <w:r w:rsidRPr="00971E2D">
        <w:rPr>
          <w:rFonts w:ascii="Arial" w:hAnsi="Arial" w:cs="Arial"/>
          <w:sz w:val="24"/>
          <w:szCs w:val="24"/>
        </w:rPr>
        <w:t xml:space="preserve"> </w:t>
      </w:r>
      <w:r w:rsidRPr="00971E2D">
        <w:rPr>
          <w:rFonts w:ascii="Arial" w:hAnsi="Arial" w:cs="Arial"/>
          <w:sz w:val="24"/>
          <w:szCs w:val="24"/>
        </w:rPr>
        <w:tab/>
      </w:r>
      <w:r w:rsidR="001C5CC8">
        <w:rPr>
          <w:rFonts w:ascii="Arial" w:hAnsi="Arial" w:cs="Arial"/>
          <w:sz w:val="24"/>
          <w:szCs w:val="24"/>
        </w:rPr>
        <w:t>The approval of the accounting policies to be applied by the Council demonstrates that due consideration is being given to which policies to adopt and apply and that those charged with corporate governance are fully informed prior to the commencement of the Statement of Accounts preparation of the policies that are being adopted.</w:t>
      </w:r>
    </w:p>
    <w:p w:rsidR="001C5CC8" w:rsidRDefault="001C5CC8" w:rsidP="00297BFC">
      <w:pPr>
        <w:autoSpaceDE w:val="0"/>
        <w:autoSpaceDN w:val="0"/>
        <w:adjustRightInd w:val="0"/>
        <w:ind w:left="709" w:hanging="709"/>
        <w:jc w:val="both"/>
        <w:rPr>
          <w:rFonts w:ascii="Arial" w:hAnsi="Arial" w:cs="Arial"/>
          <w:sz w:val="24"/>
          <w:szCs w:val="24"/>
        </w:rPr>
      </w:pPr>
    </w:p>
    <w:p w:rsidR="001C5CC8" w:rsidRDefault="00971E2D" w:rsidP="00297BFC">
      <w:pPr>
        <w:autoSpaceDE w:val="0"/>
        <w:autoSpaceDN w:val="0"/>
        <w:adjustRightInd w:val="0"/>
        <w:ind w:left="709" w:hanging="709"/>
        <w:jc w:val="both"/>
        <w:rPr>
          <w:rFonts w:ascii="Arial" w:hAnsi="Arial" w:cs="Arial"/>
          <w:sz w:val="24"/>
          <w:szCs w:val="24"/>
        </w:rPr>
      </w:pPr>
      <w:r>
        <w:rPr>
          <w:rFonts w:ascii="Arial" w:hAnsi="Arial" w:cs="Arial"/>
          <w:sz w:val="24"/>
          <w:szCs w:val="24"/>
        </w:rPr>
        <w:t>3.3</w:t>
      </w:r>
      <w:r w:rsidR="001C5CC8">
        <w:rPr>
          <w:rFonts w:ascii="Arial" w:hAnsi="Arial" w:cs="Arial"/>
          <w:sz w:val="24"/>
          <w:szCs w:val="24"/>
        </w:rPr>
        <w:tab/>
        <w:t>This report therefore presents the accounting policies that the Council will apply in the preparation of the Statement of Accounts</w:t>
      </w:r>
      <w:r w:rsidR="00904A96">
        <w:rPr>
          <w:rFonts w:ascii="Arial" w:hAnsi="Arial" w:cs="Arial"/>
          <w:sz w:val="24"/>
          <w:szCs w:val="24"/>
        </w:rPr>
        <w:t xml:space="preserve"> 2020/21</w:t>
      </w:r>
      <w:r w:rsidR="001C5CC8">
        <w:rPr>
          <w:rFonts w:ascii="Arial" w:hAnsi="Arial" w:cs="Arial"/>
          <w:sz w:val="24"/>
          <w:szCs w:val="24"/>
        </w:rPr>
        <w:t>.</w:t>
      </w:r>
    </w:p>
    <w:p w:rsidR="001C5CC8" w:rsidRDefault="001C5CC8" w:rsidP="00297BFC">
      <w:pPr>
        <w:pStyle w:val="BodyTextIndent"/>
        <w:ind w:left="0" w:right="-270"/>
        <w:jc w:val="both"/>
        <w:rPr>
          <w:rFonts w:ascii="Arial" w:hAnsi="Arial" w:cs="Arial"/>
          <w:szCs w:val="24"/>
        </w:rPr>
      </w:pPr>
    </w:p>
    <w:p w:rsidR="004763F6" w:rsidRDefault="00971E2D" w:rsidP="00297BFC">
      <w:pPr>
        <w:pStyle w:val="BodyTextIndent"/>
        <w:ind w:left="709" w:right="-270" w:hanging="709"/>
        <w:jc w:val="both"/>
        <w:rPr>
          <w:rFonts w:ascii="Arial" w:hAnsi="Arial" w:cs="Arial"/>
          <w:szCs w:val="24"/>
        </w:rPr>
      </w:pPr>
      <w:r>
        <w:rPr>
          <w:rFonts w:ascii="Arial" w:hAnsi="Arial" w:cs="Arial"/>
          <w:szCs w:val="24"/>
        </w:rPr>
        <w:t>3.4</w:t>
      </w:r>
      <w:r w:rsidR="001C5CC8">
        <w:rPr>
          <w:rFonts w:ascii="Arial" w:hAnsi="Arial" w:cs="Arial"/>
          <w:szCs w:val="24"/>
        </w:rPr>
        <w:tab/>
      </w:r>
      <w:r w:rsidR="004763F6">
        <w:rPr>
          <w:rFonts w:ascii="Arial" w:hAnsi="Arial" w:cs="Arial"/>
          <w:szCs w:val="24"/>
        </w:rPr>
        <w:t xml:space="preserve">Officers have assessed the accounting policies that are deemed necessary to explain </w:t>
      </w:r>
      <w:r w:rsidR="004763F6">
        <w:rPr>
          <w:rFonts w:ascii="ArialMT" w:hAnsi="ArialMT" w:cs="ArialMT"/>
          <w:szCs w:val="24"/>
        </w:rPr>
        <w:t>clearly and underpin the accounting treatment of transactions within the Council’</w:t>
      </w:r>
      <w:r w:rsidR="004763F6">
        <w:rPr>
          <w:rFonts w:ascii="Arial" w:hAnsi="Arial" w:cs="Arial"/>
          <w:szCs w:val="24"/>
        </w:rPr>
        <w:t>s Statement of Accounts for 20</w:t>
      </w:r>
      <w:r w:rsidR="00904A96">
        <w:rPr>
          <w:rFonts w:ascii="Arial" w:hAnsi="Arial" w:cs="Arial"/>
          <w:szCs w:val="24"/>
        </w:rPr>
        <w:t>20/21</w:t>
      </w:r>
      <w:r w:rsidR="004763F6">
        <w:rPr>
          <w:rFonts w:ascii="Arial" w:hAnsi="Arial" w:cs="Arial"/>
          <w:szCs w:val="24"/>
        </w:rPr>
        <w:t>. In undertaking this assessment a review of all accounting policies previously agreed has been undertaken to check their relevance, clarity, legislative compliance and that they are in accordance with the latest version of the code of practice and IFRS requirements.</w:t>
      </w:r>
    </w:p>
    <w:p w:rsidR="004763F6" w:rsidRDefault="004763F6" w:rsidP="00297BFC">
      <w:pPr>
        <w:pStyle w:val="BodyTextIndent"/>
        <w:ind w:left="709" w:right="-270" w:hanging="709"/>
        <w:jc w:val="both"/>
        <w:rPr>
          <w:rFonts w:ascii="Arial" w:hAnsi="Arial" w:cs="Arial"/>
          <w:szCs w:val="24"/>
        </w:rPr>
      </w:pPr>
    </w:p>
    <w:p w:rsidR="004763F6" w:rsidRPr="00297BFC" w:rsidRDefault="001C5CC8" w:rsidP="00297BFC">
      <w:pPr>
        <w:autoSpaceDE w:val="0"/>
        <w:autoSpaceDN w:val="0"/>
        <w:adjustRightInd w:val="0"/>
        <w:ind w:left="709" w:hanging="709"/>
        <w:jc w:val="both"/>
        <w:rPr>
          <w:rFonts w:ascii="Arial" w:hAnsi="Arial" w:cs="Arial"/>
          <w:sz w:val="24"/>
          <w:szCs w:val="24"/>
        </w:rPr>
      </w:pPr>
      <w:r w:rsidRPr="001C5CC8">
        <w:rPr>
          <w:rFonts w:ascii="Arial" w:hAnsi="Arial" w:cs="Arial"/>
          <w:sz w:val="24"/>
          <w:szCs w:val="24"/>
        </w:rPr>
        <w:lastRenderedPageBreak/>
        <w:t>3.</w:t>
      </w:r>
      <w:r w:rsidR="00971E2D">
        <w:rPr>
          <w:rFonts w:ascii="Arial" w:hAnsi="Arial" w:cs="Arial"/>
          <w:sz w:val="24"/>
          <w:szCs w:val="24"/>
        </w:rPr>
        <w:t>5</w:t>
      </w:r>
      <w:r w:rsidR="004763F6">
        <w:rPr>
          <w:rFonts w:ascii="Arial" w:hAnsi="Arial" w:cs="Arial"/>
          <w:szCs w:val="24"/>
        </w:rPr>
        <w:tab/>
      </w:r>
      <w:r>
        <w:rPr>
          <w:rFonts w:ascii="Arial" w:hAnsi="Arial" w:cs="Arial"/>
          <w:sz w:val="24"/>
          <w:szCs w:val="24"/>
        </w:rPr>
        <w:t>With regard to the policies proposed in respect of 20</w:t>
      </w:r>
      <w:r w:rsidR="00904A96">
        <w:rPr>
          <w:rFonts w:ascii="Arial" w:hAnsi="Arial" w:cs="Arial"/>
          <w:sz w:val="24"/>
          <w:szCs w:val="24"/>
        </w:rPr>
        <w:t>20/21</w:t>
      </w:r>
      <w:r>
        <w:rPr>
          <w:rFonts w:ascii="Arial" w:hAnsi="Arial" w:cs="Arial"/>
          <w:sz w:val="24"/>
          <w:szCs w:val="24"/>
        </w:rPr>
        <w:t xml:space="preserve"> these are largely unchanged from previous years</w:t>
      </w:r>
      <w:r w:rsidR="00DA10C4">
        <w:rPr>
          <w:rFonts w:ascii="Arial" w:hAnsi="Arial" w:cs="Arial"/>
          <w:sz w:val="24"/>
          <w:szCs w:val="24"/>
        </w:rPr>
        <w:t>,</w:t>
      </w:r>
      <w:r>
        <w:rPr>
          <w:rFonts w:ascii="Arial" w:hAnsi="Arial" w:cs="Arial"/>
          <w:sz w:val="24"/>
          <w:szCs w:val="24"/>
        </w:rPr>
        <w:t xml:space="preserve"> with only minor changes to aid understanding. As the Statement of Accounts for 20</w:t>
      </w:r>
      <w:r w:rsidR="00904A96">
        <w:rPr>
          <w:rFonts w:ascii="Arial" w:hAnsi="Arial" w:cs="Arial"/>
          <w:sz w:val="24"/>
          <w:szCs w:val="24"/>
        </w:rPr>
        <w:t>20/21</w:t>
      </w:r>
      <w:r>
        <w:rPr>
          <w:rFonts w:ascii="Arial" w:hAnsi="Arial" w:cs="Arial"/>
          <w:sz w:val="24"/>
          <w:szCs w:val="24"/>
        </w:rPr>
        <w:t xml:space="preserve"> are prepared</w:t>
      </w:r>
      <w:r w:rsidR="00DA10C4">
        <w:rPr>
          <w:rFonts w:ascii="Arial" w:hAnsi="Arial" w:cs="Arial"/>
          <w:sz w:val="24"/>
          <w:szCs w:val="24"/>
        </w:rPr>
        <w:t>,</w:t>
      </w:r>
      <w:r>
        <w:rPr>
          <w:rFonts w:ascii="Arial" w:hAnsi="Arial" w:cs="Arial"/>
          <w:sz w:val="24"/>
          <w:szCs w:val="24"/>
        </w:rPr>
        <w:t xml:space="preserve"> it may be necessary to amend a policy in order to adopt a more appropriate accounting policy. If this occurs, the change and the reason for the change will be reported back to the </w:t>
      </w:r>
      <w:r w:rsidR="009C0113">
        <w:rPr>
          <w:rFonts w:ascii="Arial" w:hAnsi="Arial" w:cs="Arial"/>
          <w:sz w:val="24"/>
          <w:szCs w:val="24"/>
        </w:rPr>
        <w:t xml:space="preserve">Governance &amp; </w:t>
      </w:r>
      <w:r w:rsidR="00DA10C4">
        <w:rPr>
          <w:rFonts w:ascii="Arial" w:hAnsi="Arial" w:cs="Arial"/>
          <w:sz w:val="24"/>
          <w:szCs w:val="24"/>
        </w:rPr>
        <w:t>Standards</w:t>
      </w:r>
      <w:r>
        <w:rPr>
          <w:rFonts w:ascii="Arial" w:hAnsi="Arial" w:cs="Arial"/>
          <w:sz w:val="24"/>
          <w:szCs w:val="24"/>
        </w:rPr>
        <w:t xml:space="preserve"> Committee at its next available meeting. Full details of all the proposed accounting policies for the current financial year are provided at </w:t>
      </w:r>
      <w:r w:rsidRPr="001C5CC8">
        <w:rPr>
          <w:rFonts w:ascii="Arial" w:hAnsi="Arial" w:cs="Arial"/>
          <w:bCs/>
          <w:sz w:val="24"/>
          <w:szCs w:val="24"/>
        </w:rPr>
        <w:t>Appendix 1</w:t>
      </w:r>
      <w:r>
        <w:rPr>
          <w:rFonts w:ascii="Arial" w:hAnsi="Arial" w:cs="Arial"/>
          <w:sz w:val="24"/>
          <w:szCs w:val="24"/>
        </w:rPr>
        <w:t>.</w:t>
      </w:r>
    </w:p>
    <w:p w:rsidR="004763F6" w:rsidRDefault="004763F6" w:rsidP="004763F6">
      <w:pPr>
        <w:pStyle w:val="BodyTextIndent"/>
        <w:ind w:left="0" w:right="-270"/>
        <w:jc w:val="both"/>
        <w:rPr>
          <w:rFonts w:ascii="Arial" w:hAnsi="Arial" w:cs="Arial"/>
          <w:b/>
          <w:szCs w:val="24"/>
        </w:rPr>
      </w:pPr>
    </w:p>
    <w:p w:rsidR="00792EB8" w:rsidRPr="004763F6" w:rsidRDefault="00792EB8" w:rsidP="004763F6">
      <w:pPr>
        <w:pStyle w:val="BodyTextIndent"/>
        <w:ind w:left="0" w:right="-270"/>
        <w:jc w:val="both"/>
        <w:rPr>
          <w:rFonts w:ascii="Arial" w:hAnsi="Arial" w:cs="Arial"/>
          <w:b/>
          <w:szCs w:val="24"/>
        </w:rPr>
      </w:pPr>
    </w:p>
    <w:p w:rsidR="00C82946" w:rsidRPr="00BC4D2F" w:rsidRDefault="00DD497B" w:rsidP="004763F6">
      <w:pPr>
        <w:pStyle w:val="BodyTextIndent"/>
        <w:ind w:left="0" w:right="-270"/>
        <w:jc w:val="both"/>
        <w:rPr>
          <w:rFonts w:ascii="Arial" w:hAnsi="Arial" w:cs="Arial"/>
          <w:b/>
          <w:szCs w:val="24"/>
        </w:rPr>
      </w:pPr>
      <w:r>
        <w:rPr>
          <w:rFonts w:ascii="Arial" w:hAnsi="Arial" w:cs="Arial"/>
          <w:b/>
          <w:szCs w:val="24"/>
        </w:rPr>
        <w:t>4</w:t>
      </w:r>
      <w:r>
        <w:rPr>
          <w:rFonts w:ascii="Arial" w:hAnsi="Arial" w:cs="Arial"/>
          <w:b/>
          <w:szCs w:val="24"/>
        </w:rPr>
        <w:tab/>
      </w:r>
      <w:r w:rsidR="00C82946" w:rsidRPr="00BC4D2F">
        <w:rPr>
          <w:rFonts w:ascii="Arial" w:hAnsi="Arial" w:cs="Arial"/>
          <w:b/>
          <w:szCs w:val="24"/>
        </w:rPr>
        <w:t>OPTIONS AVAILABLE</w:t>
      </w:r>
    </w:p>
    <w:p w:rsidR="00C82946" w:rsidRPr="00304BD4" w:rsidRDefault="00C82946" w:rsidP="003A744D">
      <w:pPr>
        <w:pStyle w:val="Heading4"/>
        <w:tabs>
          <w:tab w:val="clear" w:pos="862"/>
        </w:tabs>
        <w:ind w:left="0" w:right="-270" w:firstLine="0"/>
        <w:jc w:val="both"/>
        <w:rPr>
          <w:rFonts w:ascii="Arial" w:hAnsi="Arial" w:cs="Arial"/>
          <w:szCs w:val="24"/>
        </w:rPr>
      </w:pPr>
    </w:p>
    <w:p w:rsidR="00EC0B09" w:rsidRDefault="007F710B" w:rsidP="00297BFC">
      <w:pPr>
        <w:pStyle w:val="Heading4"/>
        <w:tabs>
          <w:tab w:val="clear" w:pos="862"/>
        </w:tabs>
        <w:ind w:left="720" w:right="-270"/>
        <w:jc w:val="both"/>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 available </w:t>
      </w:r>
      <w:r w:rsidR="00BA0E46">
        <w:rPr>
          <w:rFonts w:ascii="Arial" w:hAnsi="Arial" w:cs="Arial"/>
          <w:szCs w:val="24"/>
          <w:u w:val="none"/>
        </w:rPr>
        <w:t>is</w:t>
      </w:r>
      <w:r w:rsidR="00C82946" w:rsidRPr="00304BD4">
        <w:rPr>
          <w:rFonts w:ascii="Arial" w:hAnsi="Arial" w:cs="Arial"/>
          <w:szCs w:val="24"/>
          <w:u w:val="none"/>
        </w:rPr>
        <w:t xml:space="preserve"> </w:t>
      </w:r>
      <w:r w:rsidR="00BC4D2F">
        <w:rPr>
          <w:rFonts w:ascii="Arial" w:hAnsi="Arial" w:cs="Arial"/>
          <w:szCs w:val="24"/>
          <w:u w:val="none"/>
        </w:rPr>
        <w:t xml:space="preserve">for the Committee </w:t>
      </w:r>
      <w:r w:rsidR="00C82946" w:rsidRPr="00304BD4">
        <w:rPr>
          <w:rFonts w:ascii="Arial" w:hAnsi="Arial" w:cs="Arial"/>
          <w:szCs w:val="24"/>
          <w:u w:val="none"/>
        </w:rPr>
        <w:t xml:space="preserve">to </w:t>
      </w:r>
      <w:r w:rsidR="008F6591">
        <w:rPr>
          <w:rFonts w:ascii="Arial" w:hAnsi="Arial" w:cs="Arial"/>
          <w:szCs w:val="24"/>
          <w:u w:val="none"/>
        </w:rPr>
        <w:t>approve the Accounting Policies.</w:t>
      </w:r>
      <w:r w:rsidR="001E451F">
        <w:rPr>
          <w:rFonts w:ascii="Arial" w:hAnsi="Arial" w:cs="Arial"/>
          <w:szCs w:val="24"/>
          <w:u w:val="none"/>
        </w:rPr>
        <w:t xml:space="preserve"> </w:t>
      </w:r>
    </w:p>
    <w:p w:rsidR="00BD1176" w:rsidRDefault="00BD1176" w:rsidP="00297BFC">
      <w:pPr>
        <w:jc w:val="both"/>
      </w:pPr>
    </w:p>
    <w:p w:rsidR="00BD1176" w:rsidRDefault="00BD1176" w:rsidP="00297BFC">
      <w:pPr>
        <w:ind w:left="720"/>
        <w:jc w:val="both"/>
      </w:pPr>
      <w:r>
        <w:rPr>
          <w:rFonts w:ascii="Arial" w:hAnsi="Arial" w:cs="Arial"/>
          <w:sz w:val="24"/>
          <w:szCs w:val="24"/>
        </w:rPr>
        <w:t xml:space="preserve">The Council is required to have appropriate Accounting Policies within its Statement of Accounts. Officers have developed what they consider to be an appropriate set of policies based upon those adopted in previous </w:t>
      </w:r>
      <w:r>
        <w:rPr>
          <w:rFonts w:ascii="Arial" w:hAnsi="Arial" w:cs="Arial"/>
          <w:sz w:val="24"/>
          <w:szCs w:val="24"/>
        </w:rPr>
        <w:lastRenderedPageBreak/>
        <w:t>financial years and taking account of changes as required by current legislation. The preparation and consideration of this reports is part of a process intended to ensure that alternative options are given appropriate consideration.</w:t>
      </w:r>
    </w:p>
    <w:p w:rsidR="00BD1176" w:rsidRDefault="00BD1176" w:rsidP="00BD1176"/>
    <w:p w:rsidR="00792EB8" w:rsidRPr="00BD1176" w:rsidRDefault="00792EB8" w:rsidP="00BD1176"/>
    <w:p w:rsidR="00ED6CA8" w:rsidRDefault="00ED6CA8" w:rsidP="003A744D">
      <w:pPr>
        <w:ind w:right="-270"/>
        <w:jc w:val="both"/>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ED6CA8" w:rsidRDefault="00ED6CA8" w:rsidP="003A744D">
      <w:pPr>
        <w:ind w:right="-270"/>
        <w:jc w:val="both"/>
        <w:rPr>
          <w:rFonts w:ascii="Arial" w:hAnsi="Arial" w:cs="Arial"/>
          <w:sz w:val="24"/>
          <w:szCs w:val="24"/>
        </w:rPr>
      </w:pPr>
      <w:r>
        <w:rPr>
          <w:rFonts w:ascii="Arial" w:hAnsi="Arial" w:cs="Arial"/>
          <w:sz w:val="24"/>
          <w:szCs w:val="24"/>
        </w:rPr>
        <w:tab/>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969"/>
        <w:gridCol w:w="851"/>
        <w:gridCol w:w="2267"/>
      </w:tblGrid>
      <w:tr w:rsidR="00ED6CA8" w:rsidRPr="00C760AA" w:rsidTr="00C36BC5">
        <w:tc>
          <w:tcPr>
            <w:tcW w:w="1418" w:type="dxa"/>
            <w:shd w:val="clear" w:color="auto" w:fill="auto"/>
          </w:tcPr>
          <w:p w:rsidR="00ED6CA8" w:rsidRPr="00C760AA" w:rsidRDefault="00ED6CA8" w:rsidP="003A744D">
            <w:pPr>
              <w:ind w:right="-270"/>
              <w:jc w:val="both"/>
              <w:rPr>
                <w:rFonts w:ascii="Arial" w:hAnsi="Arial" w:cs="Arial"/>
                <w:b/>
                <w:sz w:val="24"/>
                <w:szCs w:val="24"/>
              </w:rPr>
            </w:pPr>
            <w:r w:rsidRPr="00C760AA">
              <w:rPr>
                <w:rFonts w:ascii="Arial" w:hAnsi="Arial" w:cs="Arial"/>
                <w:b/>
                <w:sz w:val="24"/>
                <w:szCs w:val="24"/>
              </w:rPr>
              <w:t>Risk</w:t>
            </w:r>
          </w:p>
        </w:tc>
        <w:tc>
          <w:tcPr>
            <w:tcW w:w="3969" w:type="dxa"/>
            <w:shd w:val="clear" w:color="auto" w:fill="auto"/>
          </w:tcPr>
          <w:p w:rsidR="00ED6CA8" w:rsidRPr="00C760AA" w:rsidRDefault="00ED6CA8" w:rsidP="003A744D">
            <w:pPr>
              <w:ind w:right="-270"/>
              <w:jc w:val="both"/>
              <w:rPr>
                <w:rFonts w:ascii="Arial" w:hAnsi="Arial" w:cs="Arial"/>
                <w:b/>
                <w:sz w:val="24"/>
                <w:szCs w:val="24"/>
              </w:rPr>
            </w:pPr>
            <w:r w:rsidRPr="00C760AA">
              <w:rPr>
                <w:rFonts w:ascii="Arial" w:hAnsi="Arial" w:cs="Arial"/>
                <w:b/>
                <w:sz w:val="24"/>
                <w:szCs w:val="24"/>
              </w:rPr>
              <w:t>Risk Assessment</w:t>
            </w:r>
          </w:p>
        </w:tc>
        <w:tc>
          <w:tcPr>
            <w:tcW w:w="851" w:type="dxa"/>
            <w:shd w:val="clear" w:color="auto" w:fill="auto"/>
          </w:tcPr>
          <w:p w:rsidR="00ED6CA8" w:rsidRPr="00C760AA" w:rsidRDefault="00ED6CA8" w:rsidP="003A744D">
            <w:pPr>
              <w:ind w:right="-270"/>
              <w:jc w:val="both"/>
              <w:rPr>
                <w:rFonts w:ascii="Arial" w:hAnsi="Arial" w:cs="Arial"/>
                <w:b/>
                <w:sz w:val="24"/>
                <w:szCs w:val="24"/>
              </w:rPr>
            </w:pPr>
            <w:r w:rsidRPr="00C760AA">
              <w:rPr>
                <w:rFonts w:ascii="Arial" w:hAnsi="Arial" w:cs="Arial"/>
                <w:b/>
                <w:sz w:val="24"/>
                <w:szCs w:val="24"/>
              </w:rPr>
              <w:t>Risk Level</w:t>
            </w:r>
          </w:p>
        </w:tc>
        <w:tc>
          <w:tcPr>
            <w:tcW w:w="2267" w:type="dxa"/>
            <w:shd w:val="clear" w:color="auto" w:fill="auto"/>
          </w:tcPr>
          <w:p w:rsidR="00ED6CA8" w:rsidRPr="00C760AA" w:rsidRDefault="00ED6CA8" w:rsidP="003A744D">
            <w:pPr>
              <w:ind w:right="-270"/>
              <w:jc w:val="both"/>
              <w:rPr>
                <w:rFonts w:ascii="Arial" w:hAnsi="Arial" w:cs="Arial"/>
                <w:b/>
                <w:sz w:val="24"/>
                <w:szCs w:val="24"/>
              </w:rPr>
            </w:pPr>
            <w:r w:rsidRPr="00C760AA">
              <w:rPr>
                <w:rFonts w:ascii="Arial" w:hAnsi="Arial" w:cs="Arial"/>
                <w:b/>
                <w:sz w:val="24"/>
                <w:szCs w:val="24"/>
              </w:rPr>
              <w:t>Risk Management</w:t>
            </w:r>
          </w:p>
          <w:p w:rsidR="00ED6CA8" w:rsidRPr="00C760AA" w:rsidRDefault="00ED6CA8" w:rsidP="003A744D">
            <w:pPr>
              <w:ind w:right="-270"/>
              <w:jc w:val="both"/>
              <w:rPr>
                <w:rFonts w:ascii="Arial" w:hAnsi="Arial" w:cs="Arial"/>
                <w:b/>
                <w:sz w:val="24"/>
                <w:szCs w:val="24"/>
              </w:rPr>
            </w:pPr>
          </w:p>
        </w:tc>
      </w:tr>
      <w:tr w:rsidR="00ED6CA8" w:rsidRPr="00C760AA" w:rsidTr="00C36BC5">
        <w:tc>
          <w:tcPr>
            <w:tcW w:w="1418" w:type="dxa"/>
            <w:shd w:val="clear" w:color="auto" w:fill="auto"/>
          </w:tcPr>
          <w:p w:rsidR="00ED6CA8" w:rsidRPr="00C760AA" w:rsidRDefault="00ED6CA8" w:rsidP="003A744D">
            <w:pPr>
              <w:ind w:right="-270"/>
              <w:jc w:val="both"/>
              <w:rPr>
                <w:rFonts w:ascii="Arial" w:hAnsi="Arial" w:cs="Arial"/>
                <w:sz w:val="24"/>
                <w:szCs w:val="24"/>
              </w:rPr>
            </w:pPr>
            <w:r w:rsidRPr="00C760AA">
              <w:rPr>
                <w:rFonts w:ascii="Arial" w:hAnsi="Arial" w:cs="Arial"/>
                <w:sz w:val="24"/>
                <w:szCs w:val="24"/>
              </w:rPr>
              <w:t>Legal</w:t>
            </w:r>
          </w:p>
        </w:tc>
        <w:tc>
          <w:tcPr>
            <w:tcW w:w="3969" w:type="dxa"/>
            <w:shd w:val="clear" w:color="auto" w:fill="auto"/>
          </w:tcPr>
          <w:p w:rsidR="00ED6CA8" w:rsidRPr="00C760AA" w:rsidRDefault="00ED6CA8" w:rsidP="00C36BC5">
            <w:pPr>
              <w:ind w:right="175"/>
              <w:rPr>
                <w:rFonts w:ascii="Arial" w:hAnsi="Arial" w:cs="Arial"/>
                <w:sz w:val="24"/>
                <w:szCs w:val="24"/>
              </w:rPr>
            </w:pPr>
            <w:r w:rsidRPr="00C760AA">
              <w:rPr>
                <w:rFonts w:ascii="Arial" w:hAnsi="Arial" w:cs="Arial"/>
                <w:sz w:val="24"/>
                <w:szCs w:val="24"/>
              </w:rPr>
              <w:t xml:space="preserve">There is </w:t>
            </w:r>
            <w:r w:rsidR="005445AF" w:rsidRPr="00C760AA">
              <w:rPr>
                <w:rFonts w:ascii="Arial" w:hAnsi="Arial" w:cs="Arial"/>
                <w:sz w:val="24"/>
                <w:szCs w:val="24"/>
              </w:rPr>
              <w:t>no legal</w:t>
            </w:r>
            <w:r w:rsidRPr="00C760AA">
              <w:rPr>
                <w:rFonts w:ascii="Arial" w:hAnsi="Arial" w:cs="Arial"/>
                <w:sz w:val="24"/>
                <w:szCs w:val="24"/>
              </w:rPr>
              <w:t xml:space="preserve"> risk </w:t>
            </w:r>
            <w:r w:rsidR="005445AF" w:rsidRPr="00C760AA">
              <w:rPr>
                <w:rFonts w:ascii="Arial" w:hAnsi="Arial" w:cs="Arial"/>
                <w:sz w:val="24"/>
                <w:szCs w:val="24"/>
              </w:rPr>
              <w:t xml:space="preserve">in respect of the </w:t>
            </w:r>
            <w:r w:rsidR="00C36BC5">
              <w:rPr>
                <w:rFonts w:ascii="Arial" w:hAnsi="Arial" w:cs="Arial"/>
                <w:sz w:val="24"/>
                <w:szCs w:val="24"/>
              </w:rPr>
              <w:t>r</w:t>
            </w:r>
            <w:r w:rsidR="005445AF" w:rsidRPr="00C760AA">
              <w:rPr>
                <w:rFonts w:ascii="Arial" w:hAnsi="Arial" w:cs="Arial"/>
                <w:sz w:val="24"/>
                <w:szCs w:val="24"/>
              </w:rPr>
              <w:t>ecommendation or option</w:t>
            </w:r>
          </w:p>
        </w:tc>
        <w:tc>
          <w:tcPr>
            <w:tcW w:w="851" w:type="dxa"/>
            <w:shd w:val="clear" w:color="auto" w:fill="auto"/>
          </w:tcPr>
          <w:p w:rsidR="00ED6CA8" w:rsidRPr="00C760AA" w:rsidRDefault="005445AF" w:rsidP="003A744D">
            <w:pPr>
              <w:ind w:right="-270"/>
              <w:jc w:val="both"/>
              <w:rPr>
                <w:rFonts w:ascii="Arial" w:hAnsi="Arial" w:cs="Arial"/>
                <w:sz w:val="24"/>
                <w:szCs w:val="24"/>
              </w:rPr>
            </w:pPr>
            <w:r w:rsidRPr="00C760AA">
              <w:rPr>
                <w:rFonts w:ascii="Arial" w:hAnsi="Arial" w:cs="Arial"/>
                <w:sz w:val="24"/>
                <w:szCs w:val="24"/>
              </w:rPr>
              <w:t>-</w:t>
            </w:r>
          </w:p>
        </w:tc>
        <w:tc>
          <w:tcPr>
            <w:tcW w:w="2267" w:type="dxa"/>
            <w:shd w:val="clear" w:color="auto" w:fill="auto"/>
          </w:tcPr>
          <w:p w:rsidR="00ED6CA8" w:rsidRPr="00C760AA" w:rsidRDefault="005445AF" w:rsidP="003A744D">
            <w:pPr>
              <w:ind w:right="-270"/>
              <w:jc w:val="both"/>
              <w:rPr>
                <w:rFonts w:ascii="Arial" w:hAnsi="Arial" w:cs="Arial"/>
                <w:sz w:val="24"/>
                <w:szCs w:val="24"/>
              </w:rPr>
            </w:pPr>
            <w:r w:rsidRPr="00C760AA">
              <w:rPr>
                <w:rFonts w:ascii="Arial" w:hAnsi="Arial" w:cs="Arial"/>
                <w:sz w:val="24"/>
                <w:szCs w:val="24"/>
              </w:rPr>
              <w:t>-</w:t>
            </w:r>
          </w:p>
        </w:tc>
      </w:tr>
      <w:tr w:rsidR="00ED6CA8" w:rsidRPr="00C760AA" w:rsidTr="00C36BC5">
        <w:tc>
          <w:tcPr>
            <w:tcW w:w="1418" w:type="dxa"/>
            <w:shd w:val="clear" w:color="auto" w:fill="auto"/>
          </w:tcPr>
          <w:p w:rsidR="00ED6CA8" w:rsidRPr="00C760AA" w:rsidRDefault="00ED6CA8" w:rsidP="003A744D">
            <w:pPr>
              <w:ind w:right="-270"/>
              <w:jc w:val="both"/>
              <w:rPr>
                <w:rFonts w:ascii="Arial" w:hAnsi="Arial" w:cs="Arial"/>
                <w:sz w:val="24"/>
                <w:szCs w:val="24"/>
              </w:rPr>
            </w:pPr>
            <w:r w:rsidRPr="00C760AA">
              <w:rPr>
                <w:rFonts w:ascii="Arial" w:hAnsi="Arial" w:cs="Arial"/>
                <w:sz w:val="24"/>
                <w:szCs w:val="24"/>
              </w:rPr>
              <w:t>Financial</w:t>
            </w:r>
          </w:p>
        </w:tc>
        <w:tc>
          <w:tcPr>
            <w:tcW w:w="3969" w:type="dxa"/>
            <w:shd w:val="clear" w:color="auto" w:fill="auto"/>
          </w:tcPr>
          <w:p w:rsidR="00ED6CA8" w:rsidRPr="00C760AA" w:rsidRDefault="00ED6CA8" w:rsidP="00C36BC5">
            <w:pPr>
              <w:ind w:right="175"/>
              <w:rPr>
                <w:rFonts w:ascii="Arial" w:hAnsi="Arial" w:cs="Arial"/>
                <w:sz w:val="24"/>
                <w:szCs w:val="24"/>
              </w:rPr>
            </w:pPr>
            <w:r w:rsidRPr="00C760AA">
              <w:rPr>
                <w:rFonts w:ascii="Arial" w:hAnsi="Arial" w:cs="Arial"/>
                <w:sz w:val="24"/>
                <w:szCs w:val="24"/>
              </w:rPr>
              <w:t xml:space="preserve">There are no financial risks to the Council </w:t>
            </w:r>
          </w:p>
        </w:tc>
        <w:tc>
          <w:tcPr>
            <w:tcW w:w="851" w:type="dxa"/>
            <w:shd w:val="clear" w:color="auto" w:fill="auto"/>
          </w:tcPr>
          <w:p w:rsidR="00ED6CA8" w:rsidRPr="00C760AA" w:rsidRDefault="00ED6CA8" w:rsidP="003A744D">
            <w:pPr>
              <w:ind w:right="-270"/>
              <w:jc w:val="both"/>
              <w:rPr>
                <w:rFonts w:ascii="Arial" w:hAnsi="Arial" w:cs="Arial"/>
                <w:sz w:val="24"/>
                <w:szCs w:val="24"/>
              </w:rPr>
            </w:pPr>
            <w:r w:rsidRPr="00C760AA">
              <w:rPr>
                <w:rFonts w:ascii="Arial" w:hAnsi="Arial" w:cs="Arial"/>
                <w:sz w:val="24"/>
                <w:szCs w:val="24"/>
              </w:rPr>
              <w:t>-</w:t>
            </w:r>
          </w:p>
        </w:tc>
        <w:tc>
          <w:tcPr>
            <w:tcW w:w="2267" w:type="dxa"/>
            <w:shd w:val="clear" w:color="auto" w:fill="auto"/>
          </w:tcPr>
          <w:p w:rsidR="00ED6CA8" w:rsidRPr="00C760AA" w:rsidRDefault="00ED6CA8" w:rsidP="003A744D">
            <w:pPr>
              <w:ind w:left="34" w:right="-270"/>
              <w:jc w:val="both"/>
              <w:rPr>
                <w:rFonts w:ascii="Arial" w:hAnsi="Arial" w:cs="Arial"/>
                <w:sz w:val="24"/>
                <w:szCs w:val="24"/>
              </w:rPr>
            </w:pPr>
            <w:r w:rsidRPr="00C760AA">
              <w:rPr>
                <w:rFonts w:ascii="Arial" w:hAnsi="Arial" w:cs="Arial"/>
                <w:sz w:val="24"/>
                <w:szCs w:val="24"/>
              </w:rPr>
              <w:t>-</w:t>
            </w:r>
          </w:p>
        </w:tc>
      </w:tr>
      <w:tr w:rsidR="00ED6CA8" w:rsidRPr="00C760AA" w:rsidTr="00C36BC5">
        <w:tc>
          <w:tcPr>
            <w:tcW w:w="1418" w:type="dxa"/>
            <w:shd w:val="clear" w:color="auto" w:fill="auto"/>
          </w:tcPr>
          <w:p w:rsidR="00ED6CA8" w:rsidRPr="00C760AA" w:rsidRDefault="00ED6CA8" w:rsidP="003A744D">
            <w:pPr>
              <w:ind w:right="-270"/>
              <w:jc w:val="both"/>
              <w:rPr>
                <w:rFonts w:ascii="Arial" w:hAnsi="Arial" w:cs="Arial"/>
                <w:sz w:val="24"/>
                <w:szCs w:val="24"/>
              </w:rPr>
            </w:pPr>
            <w:r w:rsidRPr="00C760AA">
              <w:rPr>
                <w:rFonts w:ascii="Arial" w:hAnsi="Arial" w:cs="Arial"/>
                <w:sz w:val="24"/>
                <w:szCs w:val="24"/>
              </w:rPr>
              <w:t>Reputation</w:t>
            </w:r>
          </w:p>
        </w:tc>
        <w:tc>
          <w:tcPr>
            <w:tcW w:w="3969" w:type="dxa"/>
            <w:shd w:val="clear" w:color="auto" w:fill="auto"/>
          </w:tcPr>
          <w:p w:rsidR="006030B0" w:rsidRPr="00C760AA" w:rsidRDefault="00ED6CA8" w:rsidP="00C36BC5">
            <w:pPr>
              <w:ind w:right="175"/>
              <w:rPr>
                <w:rFonts w:ascii="Arial" w:hAnsi="Arial" w:cs="Arial"/>
                <w:sz w:val="24"/>
                <w:szCs w:val="24"/>
              </w:rPr>
            </w:pPr>
            <w:r w:rsidRPr="00C760AA">
              <w:rPr>
                <w:rFonts w:ascii="Arial" w:hAnsi="Arial" w:cs="Arial"/>
                <w:sz w:val="24"/>
                <w:szCs w:val="24"/>
              </w:rPr>
              <w:t xml:space="preserve">There </w:t>
            </w:r>
            <w:r w:rsidR="005445AF" w:rsidRPr="00C760AA">
              <w:rPr>
                <w:rFonts w:ascii="Arial" w:hAnsi="Arial" w:cs="Arial"/>
                <w:sz w:val="24"/>
                <w:szCs w:val="24"/>
              </w:rPr>
              <w:t>is no re</w:t>
            </w:r>
            <w:r w:rsidRPr="00C760AA">
              <w:rPr>
                <w:rFonts w:ascii="Arial" w:hAnsi="Arial" w:cs="Arial"/>
                <w:sz w:val="24"/>
                <w:szCs w:val="24"/>
              </w:rPr>
              <w:t xml:space="preserve">putational risk to the Council </w:t>
            </w:r>
          </w:p>
        </w:tc>
        <w:tc>
          <w:tcPr>
            <w:tcW w:w="851" w:type="dxa"/>
            <w:shd w:val="clear" w:color="auto" w:fill="auto"/>
          </w:tcPr>
          <w:p w:rsidR="00ED6CA8" w:rsidRPr="00C760AA" w:rsidRDefault="005445AF" w:rsidP="003A744D">
            <w:pPr>
              <w:ind w:right="-270"/>
              <w:jc w:val="both"/>
              <w:rPr>
                <w:rFonts w:ascii="Arial" w:hAnsi="Arial" w:cs="Arial"/>
                <w:sz w:val="24"/>
                <w:szCs w:val="24"/>
              </w:rPr>
            </w:pPr>
            <w:r w:rsidRPr="00C760AA">
              <w:rPr>
                <w:rFonts w:ascii="Arial" w:hAnsi="Arial" w:cs="Arial"/>
                <w:sz w:val="24"/>
                <w:szCs w:val="24"/>
              </w:rPr>
              <w:t>-</w:t>
            </w:r>
          </w:p>
        </w:tc>
        <w:tc>
          <w:tcPr>
            <w:tcW w:w="2267" w:type="dxa"/>
            <w:shd w:val="clear" w:color="auto" w:fill="auto"/>
          </w:tcPr>
          <w:p w:rsidR="00ED6CA8" w:rsidRPr="00C760AA" w:rsidRDefault="005445AF" w:rsidP="003A744D">
            <w:pPr>
              <w:ind w:right="-270"/>
              <w:jc w:val="both"/>
              <w:rPr>
                <w:rFonts w:ascii="Arial" w:hAnsi="Arial" w:cs="Arial"/>
                <w:sz w:val="24"/>
                <w:szCs w:val="24"/>
              </w:rPr>
            </w:pPr>
            <w:r w:rsidRPr="00C760AA">
              <w:rPr>
                <w:rFonts w:ascii="Arial" w:hAnsi="Arial" w:cs="Arial"/>
                <w:sz w:val="24"/>
                <w:szCs w:val="24"/>
              </w:rPr>
              <w:t>-</w:t>
            </w:r>
          </w:p>
        </w:tc>
      </w:tr>
    </w:tbl>
    <w:p w:rsidR="00ED6CA8" w:rsidRDefault="00ED6CA8" w:rsidP="003A744D">
      <w:pPr>
        <w:ind w:right="-270"/>
        <w:jc w:val="both"/>
        <w:rPr>
          <w:rFonts w:ascii="Arial" w:hAnsi="Arial" w:cs="Arial"/>
          <w:sz w:val="24"/>
          <w:szCs w:val="24"/>
        </w:rPr>
      </w:pPr>
    </w:p>
    <w:p w:rsidR="00DA10C4" w:rsidRPr="00304BD4" w:rsidRDefault="00DA10C4" w:rsidP="003A744D">
      <w:pPr>
        <w:ind w:right="-270"/>
        <w:jc w:val="both"/>
        <w:rPr>
          <w:rFonts w:ascii="Arial" w:hAnsi="Arial" w:cs="Arial"/>
          <w:sz w:val="24"/>
          <w:szCs w:val="24"/>
        </w:rPr>
      </w:pPr>
    </w:p>
    <w:p w:rsidR="00ED6CA8" w:rsidRPr="008702DA" w:rsidRDefault="00ED6CA8" w:rsidP="003A744D">
      <w:pPr>
        <w:pStyle w:val="Heading4"/>
        <w:tabs>
          <w:tab w:val="clear" w:pos="862"/>
        </w:tabs>
        <w:ind w:left="0" w:right="-270" w:firstLine="0"/>
        <w:jc w:val="both"/>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ED6CA8" w:rsidRPr="00304BD4" w:rsidRDefault="00ED6CA8" w:rsidP="003A744D">
      <w:pPr>
        <w:ind w:right="-270"/>
        <w:jc w:val="both"/>
        <w:rPr>
          <w:rFonts w:ascii="Arial" w:hAnsi="Arial" w:cs="Arial"/>
          <w:sz w:val="24"/>
          <w:szCs w:val="24"/>
        </w:rPr>
      </w:pPr>
    </w:p>
    <w:p w:rsidR="00ED6CA8" w:rsidRPr="00304BD4" w:rsidRDefault="00663C02" w:rsidP="003A744D">
      <w:pPr>
        <w:pStyle w:val="BodyText"/>
        <w:ind w:left="720" w:right="-270" w:hanging="720"/>
        <w:jc w:val="both"/>
        <w:rPr>
          <w:rFonts w:ascii="Arial" w:hAnsi="Arial" w:cs="Arial"/>
          <w:szCs w:val="24"/>
        </w:rPr>
      </w:pPr>
      <w:r>
        <w:rPr>
          <w:rFonts w:ascii="Arial" w:hAnsi="Arial" w:cs="Arial"/>
          <w:szCs w:val="24"/>
        </w:rPr>
        <w:lastRenderedPageBreak/>
        <w:t>6</w:t>
      </w:r>
      <w:r w:rsidR="00ED6CA8">
        <w:rPr>
          <w:rFonts w:ascii="Arial" w:hAnsi="Arial" w:cs="Arial"/>
          <w:szCs w:val="24"/>
        </w:rPr>
        <w:t>.1</w:t>
      </w:r>
      <w:r w:rsidR="00ED6CA8">
        <w:rPr>
          <w:rFonts w:ascii="Arial" w:hAnsi="Arial" w:cs="Arial"/>
          <w:szCs w:val="24"/>
        </w:rPr>
        <w:tab/>
      </w:r>
      <w:r>
        <w:rPr>
          <w:rFonts w:ascii="Arial" w:hAnsi="Arial" w:cs="Arial"/>
          <w:szCs w:val="24"/>
        </w:rPr>
        <w:t xml:space="preserve">The need </w:t>
      </w:r>
      <w:r w:rsidR="00B65962">
        <w:rPr>
          <w:rFonts w:ascii="Arial" w:hAnsi="Arial" w:cs="Arial"/>
          <w:szCs w:val="24"/>
        </w:rPr>
        <w:t xml:space="preserve">to have robust and effective </w:t>
      </w:r>
      <w:r w:rsidR="005375A1">
        <w:rPr>
          <w:rFonts w:ascii="Arial" w:hAnsi="Arial" w:cs="Arial"/>
          <w:szCs w:val="24"/>
        </w:rPr>
        <w:t>accounting policies</w:t>
      </w:r>
      <w:r w:rsidR="00B65962">
        <w:rPr>
          <w:rFonts w:ascii="Arial" w:hAnsi="Arial" w:cs="Arial"/>
          <w:szCs w:val="24"/>
        </w:rPr>
        <w:t xml:space="preserve"> is fundamental to the Council in ensuring that it has adequate financial management arrangements in place to enable it to achieve its priorities</w:t>
      </w:r>
      <w:r w:rsidR="00CD5DA6">
        <w:rPr>
          <w:rFonts w:ascii="Arial" w:hAnsi="Arial" w:cs="Arial"/>
          <w:szCs w:val="24"/>
        </w:rPr>
        <w:t>.</w:t>
      </w:r>
    </w:p>
    <w:p w:rsidR="00ED6CA8" w:rsidRDefault="00ED6CA8" w:rsidP="003A744D">
      <w:pPr>
        <w:ind w:right="-270"/>
        <w:jc w:val="both"/>
        <w:rPr>
          <w:rFonts w:ascii="Arial" w:hAnsi="Arial" w:cs="Arial"/>
          <w:sz w:val="24"/>
          <w:szCs w:val="24"/>
          <w:u w:val="single"/>
        </w:rPr>
      </w:pPr>
    </w:p>
    <w:p w:rsidR="00DA10C4" w:rsidRPr="00304BD4" w:rsidRDefault="00DA10C4" w:rsidP="003A744D">
      <w:pPr>
        <w:ind w:right="-270"/>
        <w:jc w:val="both"/>
        <w:rPr>
          <w:rFonts w:ascii="Arial" w:hAnsi="Arial" w:cs="Arial"/>
          <w:sz w:val="24"/>
          <w:szCs w:val="24"/>
          <w:u w:val="single"/>
        </w:rPr>
      </w:pPr>
    </w:p>
    <w:p w:rsidR="00ED6CA8" w:rsidRDefault="00ED6CA8" w:rsidP="003A744D">
      <w:pPr>
        <w:pStyle w:val="Heading4"/>
        <w:tabs>
          <w:tab w:val="clear" w:pos="862"/>
        </w:tabs>
        <w:ind w:left="0" w:right="-270" w:firstLine="0"/>
        <w:jc w:val="both"/>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ED6CA8" w:rsidRDefault="00ED6CA8" w:rsidP="003A744D">
      <w:pPr>
        <w:jc w:val="both"/>
      </w:pPr>
    </w:p>
    <w:p w:rsidR="00ED6CA8" w:rsidRPr="00494D42" w:rsidRDefault="00ED6CA8" w:rsidP="003A744D">
      <w:pPr>
        <w:jc w:val="both"/>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ED6CA8" w:rsidRDefault="00ED6CA8" w:rsidP="003A744D">
      <w:pPr>
        <w:ind w:left="720" w:right="-270" w:hanging="720"/>
        <w:jc w:val="both"/>
        <w:rPr>
          <w:rFonts w:ascii="Arial" w:hAnsi="Arial" w:cs="Arial"/>
          <w:sz w:val="24"/>
          <w:szCs w:val="24"/>
        </w:rPr>
      </w:pPr>
      <w:r>
        <w:rPr>
          <w:rFonts w:ascii="Arial" w:hAnsi="Arial" w:cs="Arial"/>
          <w:sz w:val="24"/>
          <w:szCs w:val="24"/>
        </w:rPr>
        <w:tab/>
      </w:r>
      <w:r w:rsidR="00D163AD">
        <w:rPr>
          <w:rFonts w:ascii="Arial" w:hAnsi="Arial" w:cs="Arial"/>
          <w:sz w:val="24"/>
          <w:szCs w:val="24"/>
        </w:rPr>
        <w:t xml:space="preserve">The agreement of appropriate Accounting Policies is part of the process of ensuring that the Council satisfies its legal obligation to prepare a Statement of Accounts. The accounting policies adopted by the Council must comply with current legislation, the Code of Practice on Local Government Accounting and IFRS requirements. Officers have given careful consideration to the policies detailed at </w:t>
      </w:r>
      <w:r w:rsidR="00D163AD" w:rsidRPr="000E01D7">
        <w:rPr>
          <w:rFonts w:ascii="Arial" w:hAnsi="Arial" w:cs="Arial"/>
          <w:bCs/>
          <w:sz w:val="24"/>
          <w:szCs w:val="24"/>
        </w:rPr>
        <w:t>Appendix 1</w:t>
      </w:r>
      <w:r w:rsidR="00D163AD">
        <w:rPr>
          <w:rFonts w:ascii="Arial" w:hAnsi="Arial" w:cs="Arial"/>
          <w:b/>
          <w:bCs/>
          <w:sz w:val="24"/>
          <w:szCs w:val="24"/>
        </w:rPr>
        <w:t xml:space="preserve"> </w:t>
      </w:r>
      <w:r w:rsidR="00D163AD">
        <w:rPr>
          <w:rFonts w:ascii="Arial" w:hAnsi="Arial" w:cs="Arial"/>
          <w:sz w:val="24"/>
          <w:szCs w:val="24"/>
        </w:rPr>
        <w:t>to ensure that they meet all these requirements</w:t>
      </w:r>
    </w:p>
    <w:p w:rsidR="00ED6CA8" w:rsidRDefault="00ED6CA8" w:rsidP="003A744D">
      <w:pPr>
        <w:ind w:left="720" w:right="-270" w:hanging="720"/>
        <w:jc w:val="both"/>
        <w:rPr>
          <w:rFonts w:ascii="Arial" w:hAnsi="Arial" w:cs="Arial"/>
          <w:sz w:val="24"/>
          <w:szCs w:val="24"/>
        </w:rPr>
      </w:pPr>
    </w:p>
    <w:p w:rsidR="00ED6CA8" w:rsidRDefault="00ED6CA8" w:rsidP="003A744D">
      <w:pPr>
        <w:ind w:left="720" w:right="-270" w:hanging="720"/>
        <w:jc w:val="both"/>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ED6CA8" w:rsidRDefault="00ED6CA8" w:rsidP="003A744D">
      <w:pPr>
        <w:ind w:left="720" w:right="-270" w:hanging="720"/>
        <w:jc w:val="both"/>
        <w:rPr>
          <w:rFonts w:ascii="Arial" w:hAnsi="Arial" w:cs="Arial"/>
          <w:sz w:val="24"/>
          <w:szCs w:val="24"/>
        </w:rPr>
      </w:pPr>
      <w:r>
        <w:rPr>
          <w:rFonts w:ascii="Arial" w:hAnsi="Arial" w:cs="Arial"/>
          <w:sz w:val="24"/>
          <w:szCs w:val="24"/>
        </w:rPr>
        <w:tab/>
      </w:r>
      <w:r w:rsidR="000E01D7">
        <w:rPr>
          <w:rFonts w:ascii="Arial" w:hAnsi="Arial" w:cs="Arial"/>
          <w:sz w:val="24"/>
          <w:szCs w:val="24"/>
        </w:rPr>
        <w:t>There are no implications for human rights.</w:t>
      </w:r>
    </w:p>
    <w:p w:rsidR="00ED6CA8" w:rsidRDefault="00ED6CA8" w:rsidP="003A744D">
      <w:pPr>
        <w:ind w:left="720" w:right="-270" w:hanging="720"/>
        <w:jc w:val="both"/>
        <w:rPr>
          <w:rFonts w:ascii="Arial" w:hAnsi="Arial" w:cs="Arial"/>
          <w:sz w:val="24"/>
          <w:szCs w:val="24"/>
        </w:rPr>
      </w:pPr>
    </w:p>
    <w:p w:rsidR="00ED6CA8" w:rsidRDefault="00ED6CA8" w:rsidP="003A744D">
      <w:pPr>
        <w:ind w:left="720" w:right="-270" w:hanging="720"/>
        <w:jc w:val="both"/>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ED6CA8" w:rsidRDefault="00ED6CA8" w:rsidP="003A744D">
      <w:pPr>
        <w:ind w:left="720" w:right="-270" w:hanging="720"/>
        <w:jc w:val="both"/>
        <w:rPr>
          <w:rFonts w:ascii="Arial" w:hAnsi="Arial" w:cs="Arial"/>
          <w:sz w:val="24"/>
          <w:szCs w:val="24"/>
        </w:rPr>
      </w:pPr>
      <w:r>
        <w:rPr>
          <w:rFonts w:ascii="Arial" w:hAnsi="Arial" w:cs="Arial"/>
          <w:sz w:val="24"/>
          <w:szCs w:val="24"/>
        </w:rPr>
        <w:tab/>
      </w:r>
      <w:r w:rsidR="000E01D7">
        <w:rPr>
          <w:rFonts w:ascii="Arial" w:hAnsi="Arial" w:cs="Arial"/>
          <w:sz w:val="24"/>
          <w:szCs w:val="24"/>
        </w:rPr>
        <w:t>There are no implications for equality and diversity.</w:t>
      </w:r>
    </w:p>
    <w:p w:rsidR="006030B0" w:rsidRDefault="006030B0" w:rsidP="003A744D">
      <w:pPr>
        <w:ind w:left="720" w:right="-270" w:hanging="720"/>
        <w:jc w:val="both"/>
        <w:rPr>
          <w:rFonts w:ascii="Arial" w:hAnsi="Arial" w:cs="Arial"/>
          <w:sz w:val="24"/>
          <w:szCs w:val="24"/>
        </w:rPr>
      </w:pPr>
    </w:p>
    <w:p w:rsidR="00ED6CA8" w:rsidRDefault="00ED6CA8" w:rsidP="003A744D">
      <w:pPr>
        <w:ind w:left="720" w:right="-270" w:hanging="720"/>
        <w:jc w:val="both"/>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6030B0" w:rsidRDefault="00ED6CA8" w:rsidP="000E01D7">
      <w:pPr>
        <w:ind w:left="720" w:right="-270" w:hanging="720"/>
        <w:jc w:val="both"/>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r w:rsidR="00CD5DA6">
        <w:rPr>
          <w:rFonts w:ascii="Arial" w:hAnsi="Arial" w:cs="Arial"/>
          <w:sz w:val="24"/>
          <w:szCs w:val="24"/>
        </w:rPr>
        <w:t>.</w:t>
      </w:r>
    </w:p>
    <w:p w:rsidR="0051695F" w:rsidRDefault="0051695F" w:rsidP="003A744D">
      <w:pPr>
        <w:ind w:left="720" w:right="-270" w:hanging="720"/>
        <w:jc w:val="both"/>
        <w:rPr>
          <w:rFonts w:ascii="Arial" w:hAnsi="Arial" w:cs="Arial"/>
          <w:sz w:val="24"/>
          <w:szCs w:val="24"/>
        </w:rPr>
      </w:pPr>
    </w:p>
    <w:p w:rsidR="00ED6CA8" w:rsidRDefault="00ED6CA8" w:rsidP="003A744D">
      <w:pPr>
        <w:ind w:left="720" w:right="-270" w:hanging="720"/>
        <w:jc w:val="both"/>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ED6CA8" w:rsidRDefault="00ED6CA8" w:rsidP="003A744D">
      <w:pPr>
        <w:ind w:left="720" w:right="-270" w:hanging="720"/>
        <w:jc w:val="both"/>
        <w:rPr>
          <w:rFonts w:ascii="Arial" w:hAnsi="Arial" w:cs="Arial"/>
          <w:sz w:val="24"/>
          <w:szCs w:val="24"/>
        </w:rPr>
      </w:pPr>
      <w:r>
        <w:rPr>
          <w:rFonts w:ascii="Arial" w:hAnsi="Arial" w:cs="Arial"/>
          <w:sz w:val="24"/>
          <w:szCs w:val="24"/>
        </w:rPr>
        <w:tab/>
        <w:t>There are no implications for crime and disorder</w:t>
      </w:r>
      <w:r w:rsidR="00CD5DA6">
        <w:rPr>
          <w:rFonts w:ascii="Arial" w:hAnsi="Arial" w:cs="Arial"/>
          <w:sz w:val="24"/>
          <w:szCs w:val="24"/>
        </w:rPr>
        <w:t>.</w:t>
      </w:r>
    </w:p>
    <w:p w:rsidR="00ED6CA8" w:rsidRDefault="00ED6CA8" w:rsidP="003A744D">
      <w:pPr>
        <w:ind w:left="720" w:right="-270" w:hanging="720"/>
        <w:jc w:val="both"/>
        <w:rPr>
          <w:rFonts w:ascii="Arial" w:hAnsi="Arial" w:cs="Arial"/>
          <w:sz w:val="24"/>
          <w:szCs w:val="24"/>
        </w:rPr>
      </w:pPr>
    </w:p>
    <w:p w:rsidR="00ED6CA8" w:rsidRDefault="00ED6CA8" w:rsidP="003A744D">
      <w:pPr>
        <w:ind w:left="720" w:right="-270" w:hanging="720"/>
        <w:jc w:val="both"/>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ED6CA8" w:rsidRDefault="00ED6CA8" w:rsidP="00A61246">
      <w:pPr>
        <w:ind w:left="720" w:right="-270" w:hanging="720"/>
        <w:jc w:val="both"/>
        <w:rPr>
          <w:rFonts w:ascii="Arial" w:hAnsi="Arial" w:cs="Arial"/>
          <w:sz w:val="24"/>
          <w:szCs w:val="24"/>
        </w:rPr>
      </w:pPr>
      <w:r>
        <w:rPr>
          <w:rFonts w:ascii="Arial" w:hAnsi="Arial" w:cs="Arial"/>
          <w:sz w:val="24"/>
          <w:szCs w:val="24"/>
        </w:rPr>
        <w:tab/>
        <w:t xml:space="preserve">There are no </w:t>
      </w:r>
      <w:r w:rsidR="00A61246">
        <w:rPr>
          <w:rFonts w:ascii="Arial" w:hAnsi="Arial" w:cs="Arial"/>
          <w:sz w:val="24"/>
          <w:szCs w:val="24"/>
        </w:rPr>
        <w:t xml:space="preserve">direct budgetary </w:t>
      </w:r>
      <w:r>
        <w:rPr>
          <w:rFonts w:ascii="Arial" w:hAnsi="Arial" w:cs="Arial"/>
          <w:sz w:val="24"/>
          <w:szCs w:val="24"/>
        </w:rPr>
        <w:t>implications</w:t>
      </w:r>
      <w:r w:rsidR="00CD5DA6">
        <w:rPr>
          <w:rFonts w:ascii="Arial" w:hAnsi="Arial" w:cs="Arial"/>
          <w:sz w:val="24"/>
          <w:szCs w:val="24"/>
        </w:rPr>
        <w:t>.</w:t>
      </w:r>
      <w:r>
        <w:rPr>
          <w:rFonts w:ascii="Arial" w:hAnsi="Arial" w:cs="Arial"/>
          <w:sz w:val="24"/>
          <w:szCs w:val="24"/>
        </w:rPr>
        <w:t xml:space="preserve"> </w:t>
      </w:r>
      <w:r w:rsidR="00A61246" w:rsidRPr="00A61246">
        <w:rPr>
          <w:rFonts w:ascii="Arial" w:hAnsi="Arial" w:cs="Arial"/>
          <w:sz w:val="24"/>
          <w:szCs w:val="24"/>
        </w:rPr>
        <w:t>The accounting policies will however be used to determine the accounting treatment of the financial transactions of the Council for 20</w:t>
      </w:r>
      <w:r w:rsidR="00904A96">
        <w:rPr>
          <w:rFonts w:ascii="Arial" w:hAnsi="Arial" w:cs="Arial"/>
          <w:sz w:val="24"/>
          <w:szCs w:val="24"/>
        </w:rPr>
        <w:t>20/21</w:t>
      </w:r>
      <w:r w:rsidR="00A61246" w:rsidRPr="00A61246">
        <w:rPr>
          <w:rFonts w:ascii="Arial" w:hAnsi="Arial" w:cs="Arial"/>
          <w:sz w:val="24"/>
          <w:szCs w:val="24"/>
        </w:rPr>
        <w:t xml:space="preserve"> and will therefore influence the presentation and understanding of the financial position of the Council as at 31</w:t>
      </w:r>
      <w:r w:rsidR="00A61246">
        <w:rPr>
          <w:rFonts w:ascii="Arial" w:hAnsi="Arial" w:cs="Arial"/>
          <w:sz w:val="24"/>
          <w:szCs w:val="24"/>
        </w:rPr>
        <w:t xml:space="preserve"> </w:t>
      </w:r>
      <w:r w:rsidR="00A61246" w:rsidRPr="00A61246">
        <w:rPr>
          <w:rFonts w:ascii="Arial" w:hAnsi="Arial" w:cs="Arial"/>
          <w:sz w:val="24"/>
          <w:szCs w:val="24"/>
        </w:rPr>
        <w:t>March 2020.</w:t>
      </w:r>
      <w:r w:rsidR="00A61246">
        <w:rPr>
          <w:rFonts w:ascii="Arial" w:hAnsi="Arial" w:cs="Arial"/>
          <w:sz w:val="24"/>
          <w:szCs w:val="24"/>
        </w:rPr>
        <w:t xml:space="preserve"> </w:t>
      </w:r>
    </w:p>
    <w:p w:rsidR="00A61246" w:rsidRDefault="00A61246" w:rsidP="00A61246">
      <w:pPr>
        <w:ind w:left="720" w:right="-270" w:hanging="720"/>
        <w:jc w:val="both"/>
        <w:rPr>
          <w:rFonts w:ascii="Arial" w:hAnsi="Arial" w:cs="Arial"/>
          <w:sz w:val="24"/>
          <w:szCs w:val="24"/>
        </w:rPr>
      </w:pPr>
    </w:p>
    <w:p w:rsidR="00A61246" w:rsidRDefault="00A61246" w:rsidP="00A61246">
      <w:pPr>
        <w:ind w:left="720" w:right="-270"/>
        <w:jc w:val="both"/>
        <w:rPr>
          <w:rFonts w:ascii="Arial" w:hAnsi="Arial" w:cs="Arial"/>
          <w:sz w:val="24"/>
          <w:szCs w:val="24"/>
        </w:rPr>
      </w:pPr>
      <w:r w:rsidRPr="00A61246">
        <w:rPr>
          <w:rFonts w:ascii="Arial" w:hAnsi="Arial" w:cs="Arial"/>
          <w:sz w:val="24"/>
          <w:szCs w:val="24"/>
        </w:rPr>
        <w:lastRenderedPageBreak/>
        <w:t>None of the policies outlined in Appendix 1 are considered to be in conflict with legislative or IFRS requirements therefore the risk of adopting a policy that contravenes good practice is considered minimal. The greater risk is the failure to ensure that the policy and the actual accounting treatment are consistent. To minimise this risk the final accounts timetable for 20</w:t>
      </w:r>
      <w:r w:rsidR="00904A96">
        <w:rPr>
          <w:rFonts w:ascii="Arial" w:hAnsi="Arial" w:cs="Arial"/>
          <w:sz w:val="24"/>
          <w:szCs w:val="24"/>
        </w:rPr>
        <w:t xml:space="preserve">20/21 </w:t>
      </w:r>
      <w:r w:rsidRPr="00A61246">
        <w:rPr>
          <w:rFonts w:ascii="Arial" w:hAnsi="Arial" w:cs="Arial"/>
          <w:sz w:val="24"/>
          <w:szCs w:val="24"/>
        </w:rPr>
        <w:t>has officer review time built in to cross check the policies to the actual treatment of items within the accounts.</w:t>
      </w:r>
    </w:p>
    <w:p w:rsidR="00ED6CA8" w:rsidRDefault="00ED6CA8" w:rsidP="003A744D">
      <w:pPr>
        <w:ind w:right="-270"/>
        <w:jc w:val="both"/>
        <w:rPr>
          <w:rFonts w:ascii="Arial" w:hAnsi="Arial" w:cs="Arial"/>
          <w:sz w:val="24"/>
          <w:szCs w:val="24"/>
        </w:rPr>
      </w:pPr>
    </w:p>
    <w:p w:rsidR="00DA10C4" w:rsidRDefault="00DA10C4" w:rsidP="003A744D">
      <w:pPr>
        <w:ind w:right="-270"/>
        <w:jc w:val="both"/>
        <w:rPr>
          <w:rFonts w:ascii="Arial" w:hAnsi="Arial" w:cs="Arial"/>
          <w:sz w:val="24"/>
          <w:szCs w:val="24"/>
        </w:rPr>
      </w:pPr>
    </w:p>
    <w:p w:rsidR="00ED6CA8" w:rsidRDefault="00ED6CA8" w:rsidP="003A744D">
      <w:pPr>
        <w:ind w:right="-270"/>
        <w:jc w:val="both"/>
        <w:rPr>
          <w:rFonts w:ascii="Arial" w:hAnsi="Arial" w:cs="Arial"/>
          <w:sz w:val="24"/>
          <w:szCs w:val="24"/>
          <w:u w:val="single"/>
        </w:rPr>
      </w:pPr>
      <w:r>
        <w:rPr>
          <w:rFonts w:ascii="Arial" w:hAnsi="Arial" w:cs="Arial"/>
          <w:b/>
          <w:sz w:val="24"/>
          <w:szCs w:val="24"/>
        </w:rPr>
        <w:t>8</w:t>
      </w:r>
      <w:r w:rsidRPr="00304BD4">
        <w:rPr>
          <w:rFonts w:ascii="Arial" w:hAnsi="Arial" w:cs="Arial"/>
          <w:sz w:val="24"/>
          <w:szCs w:val="24"/>
        </w:rPr>
        <w:tab/>
      </w:r>
      <w:r w:rsidRPr="0022318C">
        <w:rPr>
          <w:rFonts w:ascii="Arial" w:hAnsi="Arial" w:cs="Arial"/>
          <w:b/>
          <w:sz w:val="24"/>
          <w:szCs w:val="24"/>
        </w:rPr>
        <w:t>COMMENTS OF STATUTORY OFFICERS</w:t>
      </w:r>
    </w:p>
    <w:p w:rsidR="00ED6CA8" w:rsidRDefault="00ED6CA8" w:rsidP="003A744D">
      <w:pPr>
        <w:ind w:right="-270"/>
        <w:jc w:val="both"/>
        <w:rPr>
          <w:rFonts w:ascii="Arial" w:hAnsi="Arial" w:cs="Arial"/>
          <w:sz w:val="24"/>
          <w:szCs w:val="24"/>
          <w:u w:val="single"/>
        </w:rPr>
      </w:pPr>
    </w:p>
    <w:p w:rsidR="007E600E" w:rsidRDefault="00ED6CA8" w:rsidP="003A744D">
      <w:pPr>
        <w:ind w:left="720" w:right="-270"/>
        <w:jc w:val="both"/>
        <w:rPr>
          <w:rFonts w:ascii="Arial" w:hAnsi="Arial" w:cs="Arial"/>
          <w:sz w:val="24"/>
          <w:szCs w:val="24"/>
        </w:rPr>
      </w:pPr>
      <w:r w:rsidRPr="007E600E">
        <w:rPr>
          <w:rFonts w:ascii="Arial" w:hAnsi="Arial" w:cs="Arial"/>
          <w:sz w:val="24"/>
          <w:szCs w:val="24"/>
        </w:rPr>
        <w:t>Monitoring Officer –</w:t>
      </w:r>
      <w:r w:rsidR="004A4A7E" w:rsidRPr="007E600E">
        <w:rPr>
          <w:rFonts w:ascii="Arial" w:hAnsi="Arial" w:cs="Arial"/>
          <w:sz w:val="24"/>
          <w:szCs w:val="24"/>
        </w:rPr>
        <w:t xml:space="preserve"> </w:t>
      </w:r>
      <w:r w:rsidR="00BC6E09">
        <w:rPr>
          <w:rFonts w:ascii="Arial" w:hAnsi="Arial" w:cs="Arial"/>
          <w:sz w:val="24"/>
          <w:szCs w:val="24"/>
        </w:rPr>
        <w:t xml:space="preserve">The approval of the proposed Accounting Policies supports effective governance arrangements across the Council.   </w:t>
      </w:r>
    </w:p>
    <w:p w:rsidR="007E600E" w:rsidRDefault="007E600E" w:rsidP="003A744D">
      <w:pPr>
        <w:ind w:right="-270"/>
        <w:jc w:val="both"/>
        <w:rPr>
          <w:rFonts w:ascii="Arial" w:hAnsi="Arial" w:cs="Arial"/>
          <w:sz w:val="24"/>
          <w:szCs w:val="24"/>
        </w:rPr>
      </w:pPr>
    </w:p>
    <w:p w:rsidR="00ED6CA8" w:rsidRDefault="007E600E" w:rsidP="003A744D">
      <w:pPr>
        <w:ind w:right="-270" w:firstLine="720"/>
        <w:jc w:val="both"/>
        <w:rPr>
          <w:rFonts w:ascii="Arial" w:hAnsi="Arial" w:cs="Arial"/>
          <w:sz w:val="24"/>
          <w:szCs w:val="24"/>
        </w:rPr>
      </w:pPr>
      <w:r>
        <w:rPr>
          <w:rFonts w:ascii="Arial" w:hAnsi="Arial" w:cs="Arial"/>
          <w:sz w:val="24"/>
          <w:szCs w:val="24"/>
        </w:rPr>
        <w:t>Sec</w:t>
      </w:r>
      <w:r w:rsidR="00ED6CA8" w:rsidRPr="00E5754E">
        <w:rPr>
          <w:rFonts w:ascii="Arial" w:hAnsi="Arial" w:cs="Arial"/>
          <w:sz w:val="24"/>
          <w:szCs w:val="24"/>
        </w:rPr>
        <w:t>tion 151 Officer –</w:t>
      </w:r>
      <w:r w:rsidR="003E43B5">
        <w:rPr>
          <w:rFonts w:ascii="Arial" w:hAnsi="Arial" w:cs="Arial"/>
          <w:i/>
          <w:sz w:val="24"/>
          <w:szCs w:val="24"/>
        </w:rPr>
        <w:t xml:space="preserve"> </w:t>
      </w:r>
      <w:r w:rsidR="000A35E0" w:rsidRPr="000A35E0">
        <w:rPr>
          <w:rFonts w:ascii="Arial" w:hAnsi="Arial" w:cs="Arial"/>
          <w:i/>
          <w:sz w:val="24"/>
          <w:szCs w:val="24"/>
        </w:rPr>
        <w:t>own report.</w:t>
      </w:r>
    </w:p>
    <w:p w:rsidR="00ED6CA8" w:rsidRDefault="00ED6CA8" w:rsidP="003A744D">
      <w:pPr>
        <w:ind w:right="-270"/>
        <w:jc w:val="both"/>
        <w:rPr>
          <w:rFonts w:ascii="Arial" w:hAnsi="Arial" w:cs="Arial"/>
          <w:sz w:val="24"/>
          <w:szCs w:val="24"/>
        </w:rPr>
      </w:pPr>
    </w:p>
    <w:p w:rsidR="00DA10C4" w:rsidRDefault="00DA10C4" w:rsidP="003A744D">
      <w:pPr>
        <w:ind w:right="-270"/>
        <w:jc w:val="both"/>
        <w:rPr>
          <w:rFonts w:ascii="Arial" w:hAnsi="Arial" w:cs="Arial"/>
          <w:sz w:val="24"/>
          <w:szCs w:val="24"/>
        </w:rPr>
      </w:pPr>
    </w:p>
    <w:p w:rsidR="00ED6CA8" w:rsidRDefault="00ED6CA8" w:rsidP="003A744D">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rsidR="00ED6CA8" w:rsidRDefault="00ED6CA8" w:rsidP="003A744D">
      <w:pPr>
        <w:ind w:right="-270"/>
        <w:jc w:val="both"/>
        <w:rPr>
          <w:rFonts w:ascii="Arial" w:hAnsi="Arial" w:cs="Arial"/>
          <w:sz w:val="24"/>
          <w:szCs w:val="24"/>
        </w:rPr>
      </w:pPr>
    </w:p>
    <w:p w:rsidR="00ED6CA8" w:rsidRPr="0022318C" w:rsidRDefault="00ED6CA8" w:rsidP="003A744D">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C82FDC">
        <w:rPr>
          <w:rFonts w:ascii="Arial" w:hAnsi="Arial" w:cs="Arial"/>
          <w:sz w:val="24"/>
          <w:szCs w:val="24"/>
        </w:rPr>
        <w:t>No further consultation has taken place</w:t>
      </w:r>
      <w:r w:rsidR="00CD5DA6">
        <w:rPr>
          <w:rFonts w:ascii="Arial" w:hAnsi="Arial" w:cs="Arial"/>
          <w:sz w:val="24"/>
          <w:szCs w:val="24"/>
        </w:rPr>
        <w:t>.</w:t>
      </w:r>
    </w:p>
    <w:p w:rsidR="00ED6CA8" w:rsidRDefault="00ED6CA8" w:rsidP="003A744D">
      <w:pPr>
        <w:ind w:right="-270"/>
        <w:jc w:val="both"/>
        <w:rPr>
          <w:rFonts w:ascii="Arial" w:hAnsi="Arial" w:cs="Arial"/>
          <w:sz w:val="24"/>
          <w:szCs w:val="24"/>
        </w:rPr>
      </w:pPr>
    </w:p>
    <w:p w:rsidR="00DA10C4" w:rsidRPr="00304BD4" w:rsidRDefault="00DA10C4" w:rsidP="003A744D">
      <w:pPr>
        <w:ind w:right="-270"/>
        <w:jc w:val="both"/>
        <w:rPr>
          <w:rFonts w:ascii="Arial" w:hAnsi="Arial" w:cs="Arial"/>
          <w:sz w:val="24"/>
          <w:szCs w:val="24"/>
        </w:rPr>
      </w:pPr>
    </w:p>
    <w:p w:rsidR="00ED6CA8" w:rsidRPr="00304BD4" w:rsidRDefault="00ED6CA8" w:rsidP="003A744D">
      <w:pPr>
        <w:ind w:right="-270"/>
        <w:jc w:val="both"/>
        <w:rPr>
          <w:rFonts w:ascii="Arial" w:hAnsi="Arial" w:cs="Arial"/>
          <w:sz w:val="24"/>
          <w:szCs w:val="24"/>
          <w:u w:val="single"/>
        </w:rPr>
      </w:pPr>
      <w:r>
        <w:rPr>
          <w:rFonts w:ascii="Arial" w:hAnsi="Arial" w:cs="Arial"/>
          <w:b/>
          <w:sz w:val="24"/>
          <w:szCs w:val="24"/>
        </w:rPr>
        <w:t>1</w:t>
      </w:r>
      <w:r w:rsidR="00663C02">
        <w:rPr>
          <w:rFonts w:ascii="Arial" w:hAnsi="Arial" w:cs="Arial"/>
          <w:b/>
          <w:sz w:val="24"/>
          <w:szCs w:val="24"/>
        </w:rPr>
        <w:t>0</w:t>
      </w:r>
      <w:r w:rsidRPr="00304BD4">
        <w:rPr>
          <w:rFonts w:ascii="Arial" w:hAnsi="Arial" w:cs="Arial"/>
          <w:sz w:val="24"/>
          <w:szCs w:val="24"/>
        </w:rPr>
        <w:tab/>
      </w:r>
      <w:r w:rsidRPr="0022318C">
        <w:rPr>
          <w:rFonts w:ascii="Arial" w:hAnsi="Arial" w:cs="Arial"/>
          <w:b/>
          <w:sz w:val="24"/>
          <w:szCs w:val="24"/>
        </w:rPr>
        <w:t>BACKGROUND PAPERS</w:t>
      </w:r>
    </w:p>
    <w:p w:rsidR="00ED6CA8" w:rsidRPr="00304BD4" w:rsidRDefault="00ED6CA8" w:rsidP="003A744D">
      <w:pPr>
        <w:ind w:right="-270"/>
        <w:jc w:val="both"/>
        <w:rPr>
          <w:rFonts w:ascii="Arial" w:hAnsi="Arial" w:cs="Arial"/>
          <w:sz w:val="24"/>
          <w:szCs w:val="24"/>
          <w:u w:val="single"/>
        </w:rPr>
      </w:pPr>
    </w:p>
    <w:p w:rsidR="00ED6CA8" w:rsidRDefault="009A7223" w:rsidP="003A744D">
      <w:pPr>
        <w:pStyle w:val="BodyTextIndent"/>
        <w:ind w:left="0" w:right="-270"/>
        <w:jc w:val="both"/>
        <w:rPr>
          <w:rFonts w:ascii="Arial" w:hAnsi="Arial" w:cs="Arial"/>
          <w:szCs w:val="24"/>
        </w:rPr>
      </w:pPr>
      <w:r>
        <w:rPr>
          <w:rFonts w:ascii="Arial" w:hAnsi="Arial" w:cs="Arial"/>
          <w:szCs w:val="24"/>
        </w:rPr>
        <w:tab/>
        <w:t>Appendix 1 – Accounting Policies 20</w:t>
      </w:r>
      <w:r w:rsidR="00904A96">
        <w:rPr>
          <w:rFonts w:ascii="Arial" w:hAnsi="Arial" w:cs="Arial"/>
          <w:szCs w:val="24"/>
        </w:rPr>
        <w:t>20/21</w:t>
      </w:r>
    </w:p>
    <w:p w:rsidR="00F6509F" w:rsidRDefault="00F6509F" w:rsidP="003A744D">
      <w:pPr>
        <w:pStyle w:val="BodyTextIndent"/>
        <w:ind w:left="0" w:right="-270"/>
        <w:jc w:val="both"/>
        <w:rPr>
          <w:rFonts w:ascii="Arial" w:hAnsi="Arial" w:cs="Arial"/>
          <w:szCs w:val="24"/>
        </w:rPr>
      </w:pPr>
    </w:p>
    <w:p w:rsidR="00525188" w:rsidRDefault="00525188" w:rsidP="003A744D">
      <w:pPr>
        <w:pStyle w:val="BodyTextIndent"/>
        <w:ind w:left="0" w:right="-270"/>
        <w:jc w:val="both"/>
        <w:rPr>
          <w:rFonts w:ascii="Arial" w:hAnsi="Arial" w:cs="Arial"/>
          <w:szCs w:val="24"/>
        </w:rPr>
      </w:pPr>
    </w:p>
    <w:tbl>
      <w:tblPr>
        <w:tblW w:w="0" w:type="auto"/>
        <w:tblLook w:val="01E0" w:firstRow="1" w:lastRow="1" w:firstColumn="1" w:lastColumn="1" w:noHBand="0" w:noVBand="0"/>
      </w:tblPr>
      <w:tblGrid>
        <w:gridCol w:w="1778"/>
        <w:gridCol w:w="296"/>
        <w:gridCol w:w="6782"/>
      </w:tblGrid>
      <w:tr w:rsidR="00525188" w:rsidRPr="00C760AA" w:rsidTr="00C760AA">
        <w:tc>
          <w:tcPr>
            <w:tcW w:w="1788"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Report Author</w:t>
            </w:r>
          </w:p>
        </w:tc>
        <w:tc>
          <w:tcPr>
            <w:tcW w:w="296"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w:t>
            </w:r>
          </w:p>
        </w:tc>
        <w:tc>
          <w:tcPr>
            <w:tcW w:w="6910" w:type="dxa"/>
            <w:shd w:val="clear" w:color="auto" w:fill="auto"/>
          </w:tcPr>
          <w:p w:rsidR="00525188" w:rsidRPr="00E37DAA" w:rsidRDefault="00E37DAA" w:rsidP="003662F9">
            <w:pPr>
              <w:jc w:val="both"/>
              <w:rPr>
                <w:rFonts w:ascii="Arial" w:hAnsi="Arial" w:cs="Arial"/>
                <w:sz w:val="24"/>
                <w:szCs w:val="24"/>
              </w:rPr>
            </w:pPr>
            <w:r w:rsidRPr="00E37DAA">
              <w:rPr>
                <w:rFonts w:ascii="Arial" w:hAnsi="Arial" w:cs="Arial"/>
                <w:sz w:val="24"/>
                <w:szCs w:val="24"/>
              </w:rPr>
              <w:t>Emma Cable</w:t>
            </w:r>
          </w:p>
        </w:tc>
      </w:tr>
      <w:tr w:rsidR="00525188" w:rsidRPr="00C760AA" w:rsidTr="00C760AA">
        <w:tc>
          <w:tcPr>
            <w:tcW w:w="1788"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Designation</w:t>
            </w:r>
          </w:p>
        </w:tc>
        <w:tc>
          <w:tcPr>
            <w:tcW w:w="296"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w:t>
            </w:r>
          </w:p>
        </w:tc>
        <w:tc>
          <w:tcPr>
            <w:tcW w:w="6910" w:type="dxa"/>
            <w:shd w:val="clear" w:color="auto" w:fill="auto"/>
          </w:tcPr>
          <w:p w:rsidR="00525188" w:rsidRPr="00E37DAA" w:rsidRDefault="00904A96" w:rsidP="00904A96">
            <w:pPr>
              <w:jc w:val="both"/>
              <w:rPr>
                <w:rFonts w:ascii="Arial" w:hAnsi="Arial" w:cs="Arial"/>
                <w:sz w:val="24"/>
                <w:szCs w:val="24"/>
              </w:rPr>
            </w:pPr>
            <w:r>
              <w:rPr>
                <w:rFonts w:ascii="Arial" w:hAnsi="Arial" w:cs="Arial"/>
                <w:sz w:val="24"/>
                <w:szCs w:val="24"/>
              </w:rPr>
              <w:t>Financial Services</w:t>
            </w:r>
            <w:r w:rsidR="00E37DAA" w:rsidRPr="00E37DAA">
              <w:rPr>
                <w:rFonts w:ascii="Arial" w:hAnsi="Arial" w:cs="Arial"/>
                <w:sz w:val="24"/>
                <w:szCs w:val="24"/>
              </w:rPr>
              <w:t xml:space="preserve"> Manager</w:t>
            </w:r>
          </w:p>
        </w:tc>
      </w:tr>
      <w:tr w:rsidR="00525188" w:rsidRPr="00C760AA" w:rsidTr="00C760AA">
        <w:tc>
          <w:tcPr>
            <w:tcW w:w="1788"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Telephone</w:t>
            </w:r>
          </w:p>
        </w:tc>
        <w:tc>
          <w:tcPr>
            <w:tcW w:w="296"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w:t>
            </w:r>
          </w:p>
        </w:tc>
        <w:tc>
          <w:tcPr>
            <w:tcW w:w="6910" w:type="dxa"/>
            <w:shd w:val="clear" w:color="auto" w:fill="auto"/>
          </w:tcPr>
          <w:p w:rsidR="00525188" w:rsidRPr="00E37DAA" w:rsidRDefault="00E37DAA" w:rsidP="003662F9">
            <w:pPr>
              <w:jc w:val="both"/>
              <w:rPr>
                <w:rFonts w:ascii="Arial" w:hAnsi="Arial" w:cs="Arial"/>
                <w:sz w:val="24"/>
                <w:szCs w:val="24"/>
              </w:rPr>
            </w:pPr>
            <w:r w:rsidRPr="00E37DAA">
              <w:rPr>
                <w:rFonts w:ascii="Arial" w:hAnsi="Arial" w:cs="Arial"/>
                <w:sz w:val="24"/>
                <w:szCs w:val="24"/>
              </w:rPr>
              <w:t>01623 463495</w:t>
            </w:r>
          </w:p>
        </w:tc>
      </w:tr>
      <w:tr w:rsidR="00525188" w:rsidRPr="00C760AA" w:rsidTr="00C760AA">
        <w:tc>
          <w:tcPr>
            <w:tcW w:w="1788"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E-mail</w:t>
            </w:r>
          </w:p>
        </w:tc>
        <w:tc>
          <w:tcPr>
            <w:tcW w:w="296" w:type="dxa"/>
            <w:shd w:val="clear" w:color="auto" w:fill="auto"/>
          </w:tcPr>
          <w:p w:rsidR="00525188" w:rsidRPr="00E37DAA" w:rsidRDefault="00525188" w:rsidP="003A744D">
            <w:pPr>
              <w:jc w:val="both"/>
              <w:rPr>
                <w:rFonts w:ascii="Arial" w:hAnsi="Arial" w:cs="Arial"/>
                <w:sz w:val="24"/>
                <w:szCs w:val="24"/>
              </w:rPr>
            </w:pPr>
            <w:r w:rsidRPr="00E37DAA">
              <w:rPr>
                <w:rFonts w:ascii="Arial" w:hAnsi="Arial" w:cs="Arial"/>
                <w:sz w:val="24"/>
                <w:szCs w:val="24"/>
              </w:rPr>
              <w:t>-</w:t>
            </w:r>
          </w:p>
        </w:tc>
        <w:tc>
          <w:tcPr>
            <w:tcW w:w="6910" w:type="dxa"/>
            <w:shd w:val="clear" w:color="auto" w:fill="auto"/>
          </w:tcPr>
          <w:p w:rsidR="00E37DAA" w:rsidRPr="00E37DAA" w:rsidRDefault="00E37DAA" w:rsidP="00E37DAA">
            <w:pPr>
              <w:rPr>
                <w:rFonts w:ascii="Arial" w:hAnsi="Arial" w:cs="Arial"/>
                <w:sz w:val="24"/>
                <w:szCs w:val="24"/>
              </w:rPr>
            </w:pPr>
            <w:hyperlink r:id="rId7" w:history="1">
              <w:r w:rsidRPr="00E37DAA">
                <w:rPr>
                  <w:rStyle w:val="Hyperlink"/>
                  <w:rFonts w:ascii="Arial" w:hAnsi="Arial" w:cs="Arial"/>
                  <w:sz w:val="24"/>
                  <w:szCs w:val="24"/>
                </w:rPr>
                <w:t>ecable@mansfield.gov.uk</w:t>
              </w:r>
            </w:hyperlink>
          </w:p>
          <w:p w:rsidR="00525188" w:rsidRPr="00E37DAA" w:rsidRDefault="00525188" w:rsidP="00FE35BF">
            <w:pPr>
              <w:jc w:val="both"/>
              <w:rPr>
                <w:rFonts w:ascii="Arial" w:hAnsi="Arial" w:cs="Arial"/>
                <w:sz w:val="24"/>
                <w:szCs w:val="24"/>
              </w:rPr>
            </w:pPr>
          </w:p>
        </w:tc>
      </w:tr>
    </w:tbl>
    <w:p w:rsidR="00C36BC5" w:rsidRPr="00B14CAB" w:rsidRDefault="00C36BC5" w:rsidP="003A744D">
      <w:pPr>
        <w:pStyle w:val="BodyTextIndent"/>
        <w:ind w:left="0" w:right="-270"/>
        <w:jc w:val="both"/>
        <w:rPr>
          <w:rFonts w:ascii="Arial" w:hAnsi="Arial" w:cs="Arial"/>
          <w:szCs w:val="24"/>
        </w:rPr>
      </w:pPr>
    </w:p>
    <w:sectPr w:rsidR="00C36BC5" w:rsidRPr="00B14CAB" w:rsidSect="00A409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B0" w:rsidRDefault="006573B0">
      <w:r>
        <w:separator/>
      </w:r>
    </w:p>
  </w:endnote>
  <w:endnote w:type="continuationSeparator" w:id="0">
    <w:p w:rsidR="006573B0" w:rsidRDefault="0065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B0" w:rsidRDefault="006573B0">
      <w:r>
        <w:separator/>
      </w:r>
    </w:p>
  </w:footnote>
  <w:footnote w:type="continuationSeparator" w:id="0">
    <w:p w:rsidR="006573B0" w:rsidRDefault="0065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C1D"/>
    <w:multiLevelType w:val="hybridMultilevel"/>
    <w:tmpl w:val="D80AB51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087E59"/>
    <w:multiLevelType w:val="multilevel"/>
    <w:tmpl w:val="C44871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F6477"/>
    <w:multiLevelType w:val="singleLevel"/>
    <w:tmpl w:val="D5280BAA"/>
    <w:lvl w:ilvl="0">
      <w:start w:val="1"/>
      <w:numFmt w:val="decimal"/>
      <w:pStyle w:val="Heading5"/>
      <w:lvlText w:val="%1"/>
      <w:lvlJc w:val="left"/>
      <w:pPr>
        <w:tabs>
          <w:tab w:val="num" w:pos="862"/>
        </w:tabs>
        <w:ind w:left="862" w:hanging="720"/>
      </w:pPr>
      <w:rPr>
        <w:rFonts w:hint="default"/>
        <w:u w:val="none"/>
      </w:rPr>
    </w:lvl>
  </w:abstractNum>
  <w:abstractNum w:abstractNumId="3" w15:restartNumberingAfterBreak="0">
    <w:nsid w:val="1C3A1F5C"/>
    <w:multiLevelType w:val="hybridMultilevel"/>
    <w:tmpl w:val="9FC49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C3596A"/>
    <w:multiLevelType w:val="hybridMultilevel"/>
    <w:tmpl w:val="ED46181E"/>
    <w:lvl w:ilvl="0" w:tplc="08090001">
      <w:start w:val="1"/>
      <w:numFmt w:val="bullet"/>
      <w:lvlText w:val=""/>
      <w:lvlJc w:val="left"/>
      <w:pPr>
        <w:tabs>
          <w:tab w:val="num" w:pos="1451"/>
        </w:tabs>
        <w:ind w:left="1451" w:hanging="360"/>
      </w:pPr>
      <w:rPr>
        <w:rFonts w:ascii="Symbol" w:hAnsi="Symbol" w:hint="default"/>
      </w:rPr>
    </w:lvl>
    <w:lvl w:ilvl="1" w:tplc="08090003" w:tentative="1">
      <w:start w:val="1"/>
      <w:numFmt w:val="bullet"/>
      <w:lvlText w:val="o"/>
      <w:lvlJc w:val="left"/>
      <w:pPr>
        <w:tabs>
          <w:tab w:val="num" w:pos="2171"/>
        </w:tabs>
        <w:ind w:left="2171" w:hanging="360"/>
      </w:pPr>
      <w:rPr>
        <w:rFonts w:ascii="Courier New" w:hAnsi="Courier New" w:cs="Courier New" w:hint="default"/>
      </w:rPr>
    </w:lvl>
    <w:lvl w:ilvl="2" w:tplc="08090005" w:tentative="1">
      <w:start w:val="1"/>
      <w:numFmt w:val="bullet"/>
      <w:lvlText w:val=""/>
      <w:lvlJc w:val="left"/>
      <w:pPr>
        <w:tabs>
          <w:tab w:val="num" w:pos="2891"/>
        </w:tabs>
        <w:ind w:left="2891" w:hanging="360"/>
      </w:pPr>
      <w:rPr>
        <w:rFonts w:ascii="Wingdings" w:hAnsi="Wingdings" w:hint="default"/>
      </w:rPr>
    </w:lvl>
    <w:lvl w:ilvl="3" w:tplc="08090001" w:tentative="1">
      <w:start w:val="1"/>
      <w:numFmt w:val="bullet"/>
      <w:lvlText w:val=""/>
      <w:lvlJc w:val="left"/>
      <w:pPr>
        <w:tabs>
          <w:tab w:val="num" w:pos="3611"/>
        </w:tabs>
        <w:ind w:left="3611" w:hanging="360"/>
      </w:pPr>
      <w:rPr>
        <w:rFonts w:ascii="Symbol" w:hAnsi="Symbol" w:hint="default"/>
      </w:rPr>
    </w:lvl>
    <w:lvl w:ilvl="4" w:tplc="08090003" w:tentative="1">
      <w:start w:val="1"/>
      <w:numFmt w:val="bullet"/>
      <w:lvlText w:val="o"/>
      <w:lvlJc w:val="left"/>
      <w:pPr>
        <w:tabs>
          <w:tab w:val="num" w:pos="4331"/>
        </w:tabs>
        <w:ind w:left="4331" w:hanging="360"/>
      </w:pPr>
      <w:rPr>
        <w:rFonts w:ascii="Courier New" w:hAnsi="Courier New" w:cs="Courier New" w:hint="default"/>
      </w:rPr>
    </w:lvl>
    <w:lvl w:ilvl="5" w:tplc="08090005" w:tentative="1">
      <w:start w:val="1"/>
      <w:numFmt w:val="bullet"/>
      <w:lvlText w:val=""/>
      <w:lvlJc w:val="left"/>
      <w:pPr>
        <w:tabs>
          <w:tab w:val="num" w:pos="5051"/>
        </w:tabs>
        <w:ind w:left="5051" w:hanging="360"/>
      </w:pPr>
      <w:rPr>
        <w:rFonts w:ascii="Wingdings" w:hAnsi="Wingdings" w:hint="default"/>
      </w:rPr>
    </w:lvl>
    <w:lvl w:ilvl="6" w:tplc="08090001" w:tentative="1">
      <w:start w:val="1"/>
      <w:numFmt w:val="bullet"/>
      <w:lvlText w:val=""/>
      <w:lvlJc w:val="left"/>
      <w:pPr>
        <w:tabs>
          <w:tab w:val="num" w:pos="5771"/>
        </w:tabs>
        <w:ind w:left="5771" w:hanging="360"/>
      </w:pPr>
      <w:rPr>
        <w:rFonts w:ascii="Symbol" w:hAnsi="Symbol" w:hint="default"/>
      </w:rPr>
    </w:lvl>
    <w:lvl w:ilvl="7" w:tplc="08090003" w:tentative="1">
      <w:start w:val="1"/>
      <w:numFmt w:val="bullet"/>
      <w:lvlText w:val="o"/>
      <w:lvlJc w:val="left"/>
      <w:pPr>
        <w:tabs>
          <w:tab w:val="num" w:pos="6491"/>
        </w:tabs>
        <w:ind w:left="6491" w:hanging="360"/>
      </w:pPr>
      <w:rPr>
        <w:rFonts w:ascii="Courier New" w:hAnsi="Courier New" w:cs="Courier New" w:hint="default"/>
      </w:rPr>
    </w:lvl>
    <w:lvl w:ilvl="8" w:tplc="08090005" w:tentative="1">
      <w:start w:val="1"/>
      <w:numFmt w:val="bullet"/>
      <w:lvlText w:val=""/>
      <w:lvlJc w:val="left"/>
      <w:pPr>
        <w:tabs>
          <w:tab w:val="num" w:pos="7211"/>
        </w:tabs>
        <w:ind w:left="7211" w:hanging="360"/>
      </w:pPr>
      <w:rPr>
        <w:rFonts w:ascii="Wingdings" w:hAnsi="Wingdings" w:hint="default"/>
      </w:rPr>
    </w:lvl>
  </w:abstractNum>
  <w:abstractNum w:abstractNumId="6" w15:restartNumberingAfterBreak="0">
    <w:nsid w:val="57E245CC"/>
    <w:multiLevelType w:val="hybridMultilevel"/>
    <w:tmpl w:val="B69CEE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4"/>
  </w:num>
  <w:num w:numId="4">
    <w:abstractNumId w:val="5"/>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498A"/>
    <w:rsid w:val="00022745"/>
    <w:rsid w:val="000277CD"/>
    <w:rsid w:val="00035950"/>
    <w:rsid w:val="00064327"/>
    <w:rsid w:val="000A1A75"/>
    <w:rsid w:val="000A35E0"/>
    <w:rsid w:val="000A60DA"/>
    <w:rsid w:val="000A7652"/>
    <w:rsid w:val="000B139A"/>
    <w:rsid w:val="000B61E3"/>
    <w:rsid w:val="000C0613"/>
    <w:rsid w:val="000C5637"/>
    <w:rsid w:val="000E01D7"/>
    <w:rsid w:val="000E24F5"/>
    <w:rsid w:val="000F75AE"/>
    <w:rsid w:val="00104E60"/>
    <w:rsid w:val="00106C29"/>
    <w:rsid w:val="00127010"/>
    <w:rsid w:val="00134921"/>
    <w:rsid w:val="00136012"/>
    <w:rsid w:val="001402F4"/>
    <w:rsid w:val="0016667C"/>
    <w:rsid w:val="00173A9F"/>
    <w:rsid w:val="001836FC"/>
    <w:rsid w:val="001B048E"/>
    <w:rsid w:val="001C5CC8"/>
    <w:rsid w:val="001E451F"/>
    <w:rsid w:val="00200422"/>
    <w:rsid w:val="0022034E"/>
    <w:rsid w:val="0023165A"/>
    <w:rsid w:val="00267EA7"/>
    <w:rsid w:val="00272D3B"/>
    <w:rsid w:val="002749FF"/>
    <w:rsid w:val="00290878"/>
    <w:rsid w:val="00294B38"/>
    <w:rsid w:val="00297BFC"/>
    <w:rsid w:val="002A4C7F"/>
    <w:rsid w:val="002A75FF"/>
    <w:rsid w:val="002D1D2D"/>
    <w:rsid w:val="002D383F"/>
    <w:rsid w:val="002E4386"/>
    <w:rsid w:val="002E4C4A"/>
    <w:rsid w:val="002F27BC"/>
    <w:rsid w:val="00304BD4"/>
    <w:rsid w:val="0032139E"/>
    <w:rsid w:val="0033386F"/>
    <w:rsid w:val="00334620"/>
    <w:rsid w:val="0036081D"/>
    <w:rsid w:val="00366285"/>
    <w:rsid w:val="003662F9"/>
    <w:rsid w:val="003A744D"/>
    <w:rsid w:val="003B3963"/>
    <w:rsid w:val="003B56B8"/>
    <w:rsid w:val="003D0BB8"/>
    <w:rsid w:val="003D25D7"/>
    <w:rsid w:val="003E29D4"/>
    <w:rsid w:val="003E43B5"/>
    <w:rsid w:val="003F28D1"/>
    <w:rsid w:val="00410C51"/>
    <w:rsid w:val="0041638D"/>
    <w:rsid w:val="0042299B"/>
    <w:rsid w:val="00437DD2"/>
    <w:rsid w:val="00446026"/>
    <w:rsid w:val="00455506"/>
    <w:rsid w:val="0046182F"/>
    <w:rsid w:val="00463824"/>
    <w:rsid w:val="0046447B"/>
    <w:rsid w:val="00473BDC"/>
    <w:rsid w:val="00474B39"/>
    <w:rsid w:val="004763F6"/>
    <w:rsid w:val="0048650D"/>
    <w:rsid w:val="00486B00"/>
    <w:rsid w:val="004A24A3"/>
    <w:rsid w:val="004A4A7E"/>
    <w:rsid w:val="004A4FD0"/>
    <w:rsid w:val="004A7E12"/>
    <w:rsid w:val="004B7F1D"/>
    <w:rsid w:val="004D608E"/>
    <w:rsid w:val="00503FDF"/>
    <w:rsid w:val="00504313"/>
    <w:rsid w:val="00506C6D"/>
    <w:rsid w:val="00514554"/>
    <w:rsid w:val="0051695F"/>
    <w:rsid w:val="00525188"/>
    <w:rsid w:val="005375A1"/>
    <w:rsid w:val="005445AF"/>
    <w:rsid w:val="00564276"/>
    <w:rsid w:val="005A0FEE"/>
    <w:rsid w:val="005C0360"/>
    <w:rsid w:val="005C17C8"/>
    <w:rsid w:val="006006E9"/>
    <w:rsid w:val="006012D4"/>
    <w:rsid w:val="006030B0"/>
    <w:rsid w:val="00604B8F"/>
    <w:rsid w:val="0061116E"/>
    <w:rsid w:val="00615B63"/>
    <w:rsid w:val="00632239"/>
    <w:rsid w:val="006339F6"/>
    <w:rsid w:val="00645D93"/>
    <w:rsid w:val="006573B0"/>
    <w:rsid w:val="00663C02"/>
    <w:rsid w:val="006711D0"/>
    <w:rsid w:val="0068608F"/>
    <w:rsid w:val="00686234"/>
    <w:rsid w:val="006C3D4C"/>
    <w:rsid w:val="006E009D"/>
    <w:rsid w:val="006E3C94"/>
    <w:rsid w:val="0072558B"/>
    <w:rsid w:val="00735B4C"/>
    <w:rsid w:val="007363A8"/>
    <w:rsid w:val="00790C45"/>
    <w:rsid w:val="00791864"/>
    <w:rsid w:val="00792EB8"/>
    <w:rsid w:val="007A11BF"/>
    <w:rsid w:val="007A16BA"/>
    <w:rsid w:val="007A7AA8"/>
    <w:rsid w:val="007A7D7A"/>
    <w:rsid w:val="007B773F"/>
    <w:rsid w:val="007E0E29"/>
    <w:rsid w:val="007E5B4C"/>
    <w:rsid w:val="007E600E"/>
    <w:rsid w:val="007F6AAA"/>
    <w:rsid w:val="007F710B"/>
    <w:rsid w:val="008012C6"/>
    <w:rsid w:val="00843919"/>
    <w:rsid w:val="00851512"/>
    <w:rsid w:val="008764FB"/>
    <w:rsid w:val="00883E6E"/>
    <w:rsid w:val="008A6FE1"/>
    <w:rsid w:val="008C6B82"/>
    <w:rsid w:val="008E0B0F"/>
    <w:rsid w:val="008F534F"/>
    <w:rsid w:val="008F6591"/>
    <w:rsid w:val="008F6FA1"/>
    <w:rsid w:val="00904A96"/>
    <w:rsid w:val="009113D4"/>
    <w:rsid w:val="00915EE6"/>
    <w:rsid w:val="00925316"/>
    <w:rsid w:val="00971E2D"/>
    <w:rsid w:val="00981D1B"/>
    <w:rsid w:val="00986472"/>
    <w:rsid w:val="009876B3"/>
    <w:rsid w:val="0099707D"/>
    <w:rsid w:val="009A7223"/>
    <w:rsid w:val="009B5EDA"/>
    <w:rsid w:val="009B736C"/>
    <w:rsid w:val="009C0113"/>
    <w:rsid w:val="009D2E25"/>
    <w:rsid w:val="009D45FE"/>
    <w:rsid w:val="009E1955"/>
    <w:rsid w:val="009E3C37"/>
    <w:rsid w:val="009F1857"/>
    <w:rsid w:val="00A40952"/>
    <w:rsid w:val="00A54873"/>
    <w:rsid w:val="00A562E6"/>
    <w:rsid w:val="00A61246"/>
    <w:rsid w:val="00A70360"/>
    <w:rsid w:val="00A72419"/>
    <w:rsid w:val="00A77E07"/>
    <w:rsid w:val="00A82033"/>
    <w:rsid w:val="00AA0926"/>
    <w:rsid w:val="00AA30F4"/>
    <w:rsid w:val="00AB4576"/>
    <w:rsid w:val="00AC04DA"/>
    <w:rsid w:val="00AE08EC"/>
    <w:rsid w:val="00AE5622"/>
    <w:rsid w:val="00B14CAB"/>
    <w:rsid w:val="00B17CF9"/>
    <w:rsid w:val="00B32545"/>
    <w:rsid w:val="00B37FD6"/>
    <w:rsid w:val="00B55786"/>
    <w:rsid w:val="00B65962"/>
    <w:rsid w:val="00B65F20"/>
    <w:rsid w:val="00B83157"/>
    <w:rsid w:val="00B8514C"/>
    <w:rsid w:val="00B9737B"/>
    <w:rsid w:val="00BA0E46"/>
    <w:rsid w:val="00BB4F2F"/>
    <w:rsid w:val="00BC3351"/>
    <w:rsid w:val="00BC404E"/>
    <w:rsid w:val="00BC419E"/>
    <w:rsid w:val="00BC4D2F"/>
    <w:rsid w:val="00BC6E09"/>
    <w:rsid w:val="00BD1176"/>
    <w:rsid w:val="00BD23D6"/>
    <w:rsid w:val="00BE41A6"/>
    <w:rsid w:val="00BF72FB"/>
    <w:rsid w:val="00C3426A"/>
    <w:rsid w:val="00C36BC5"/>
    <w:rsid w:val="00C375F1"/>
    <w:rsid w:val="00C47AEE"/>
    <w:rsid w:val="00C760AA"/>
    <w:rsid w:val="00C82946"/>
    <w:rsid w:val="00C82FDC"/>
    <w:rsid w:val="00CA182C"/>
    <w:rsid w:val="00CB3B10"/>
    <w:rsid w:val="00CC76EA"/>
    <w:rsid w:val="00CD5DA6"/>
    <w:rsid w:val="00CE2518"/>
    <w:rsid w:val="00CE2F31"/>
    <w:rsid w:val="00D06BE9"/>
    <w:rsid w:val="00D163AD"/>
    <w:rsid w:val="00D374E8"/>
    <w:rsid w:val="00D45D88"/>
    <w:rsid w:val="00D60694"/>
    <w:rsid w:val="00D62D28"/>
    <w:rsid w:val="00D9172A"/>
    <w:rsid w:val="00DA10C4"/>
    <w:rsid w:val="00DA6BC1"/>
    <w:rsid w:val="00DD497B"/>
    <w:rsid w:val="00DE5C3B"/>
    <w:rsid w:val="00E02C8D"/>
    <w:rsid w:val="00E03D9C"/>
    <w:rsid w:val="00E05028"/>
    <w:rsid w:val="00E1664E"/>
    <w:rsid w:val="00E24D76"/>
    <w:rsid w:val="00E36664"/>
    <w:rsid w:val="00E37DAA"/>
    <w:rsid w:val="00E41087"/>
    <w:rsid w:val="00E574E3"/>
    <w:rsid w:val="00E5754E"/>
    <w:rsid w:val="00E61AB9"/>
    <w:rsid w:val="00E627AA"/>
    <w:rsid w:val="00E64561"/>
    <w:rsid w:val="00E725CA"/>
    <w:rsid w:val="00E8666A"/>
    <w:rsid w:val="00E87638"/>
    <w:rsid w:val="00EA4776"/>
    <w:rsid w:val="00EB09A7"/>
    <w:rsid w:val="00EB5607"/>
    <w:rsid w:val="00EC0B09"/>
    <w:rsid w:val="00EC20AA"/>
    <w:rsid w:val="00EC5288"/>
    <w:rsid w:val="00ED110C"/>
    <w:rsid w:val="00ED6CA8"/>
    <w:rsid w:val="00EE164D"/>
    <w:rsid w:val="00EE7774"/>
    <w:rsid w:val="00F01634"/>
    <w:rsid w:val="00F34344"/>
    <w:rsid w:val="00F34D25"/>
    <w:rsid w:val="00F46840"/>
    <w:rsid w:val="00F54392"/>
    <w:rsid w:val="00F64719"/>
    <w:rsid w:val="00F6509F"/>
    <w:rsid w:val="00F666BF"/>
    <w:rsid w:val="00F7017F"/>
    <w:rsid w:val="00F87F70"/>
    <w:rsid w:val="00FA06CE"/>
    <w:rsid w:val="00FA17F7"/>
    <w:rsid w:val="00FC53A9"/>
    <w:rsid w:val="00FD2481"/>
    <w:rsid w:val="00FE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A733190B-797E-40D1-BE98-A5A3551D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862"/>
      </w:tabs>
      <w:ind w:left="862"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862"/>
      </w:tabs>
      <w:ind w:left="862"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52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3B10"/>
    <w:rPr>
      <w:color w:val="0000FF"/>
      <w:u w:val="single"/>
    </w:rPr>
  </w:style>
  <w:style w:type="paragraph" w:styleId="BalloonText">
    <w:name w:val="Balloon Text"/>
    <w:basedOn w:val="Normal"/>
    <w:link w:val="BalloonTextChar"/>
    <w:rsid w:val="00851512"/>
    <w:rPr>
      <w:rFonts w:ascii="Tahoma" w:hAnsi="Tahoma" w:cs="Tahoma"/>
      <w:sz w:val="16"/>
      <w:szCs w:val="16"/>
    </w:rPr>
  </w:style>
  <w:style w:type="character" w:customStyle="1" w:styleId="BalloonTextChar">
    <w:name w:val="Balloon Text Char"/>
    <w:link w:val="BalloonText"/>
    <w:rsid w:val="008515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ble@mans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880</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5885</CharactersWithSpaces>
  <SharedDoc>false</SharedDoc>
  <HLinks>
    <vt:vector size="6" baseType="variant">
      <vt:variant>
        <vt:i4>5832750</vt:i4>
      </vt:variant>
      <vt:variant>
        <vt:i4>0</vt:i4>
      </vt:variant>
      <vt:variant>
        <vt:i4>0</vt:i4>
      </vt:variant>
      <vt:variant>
        <vt:i4>5</vt:i4>
      </vt:variant>
      <vt:variant>
        <vt:lpwstr>mailto:ecable@mansfield.gov.uk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Gabriella Wright</cp:lastModifiedBy>
  <cp:revision>2</cp:revision>
  <cp:lastPrinted>2016-11-10T13:20:00Z</cp:lastPrinted>
  <dcterms:created xsi:type="dcterms:W3CDTF">2021-03-09T16:30:00Z</dcterms:created>
  <dcterms:modified xsi:type="dcterms:W3CDTF">2021-03-09T16:30:00Z</dcterms:modified>
</cp:coreProperties>
</file>